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1F" w:rsidRPr="007D3C89" w:rsidRDefault="002C1B1F" w:rsidP="002C1B1F">
      <w:pPr>
        <w:rPr>
          <w:b/>
          <w:sz w:val="28"/>
          <w:szCs w:val="28"/>
        </w:rPr>
      </w:pPr>
      <w:r>
        <w:rPr>
          <w:b/>
          <w:sz w:val="28"/>
          <w:szCs w:val="28"/>
        </w:rPr>
        <w:t>Partie III</w:t>
      </w:r>
      <w:r w:rsidR="00932DA3">
        <w:rPr>
          <w:b/>
          <w:sz w:val="28"/>
          <w:szCs w:val="28"/>
        </w:rPr>
        <w:t>.</w:t>
      </w:r>
      <w:r w:rsidR="00D3564D">
        <w:rPr>
          <w:b/>
          <w:sz w:val="28"/>
          <w:szCs w:val="28"/>
        </w:rPr>
        <w:t xml:space="preserve"> Modèle pour l’examen rapide </w:t>
      </w:r>
      <w:r w:rsidR="0063403C">
        <w:rPr>
          <w:b/>
          <w:sz w:val="28"/>
          <w:szCs w:val="28"/>
        </w:rPr>
        <w:t>de la</w:t>
      </w:r>
      <w:r>
        <w:rPr>
          <w:b/>
          <w:sz w:val="28"/>
          <w:szCs w:val="28"/>
        </w:rPr>
        <w:t xml:space="preserve"> classification</w:t>
      </w:r>
      <w:r>
        <w:rPr>
          <w:b/>
          <w:sz w:val="28"/>
          <w:szCs w:val="28"/>
        </w:rPr>
        <w:br/>
      </w:r>
    </w:p>
    <w:p w:rsidR="002C1B1F" w:rsidRPr="00932DA3" w:rsidRDefault="002C1B1F" w:rsidP="002C1B1F">
      <w:pPr>
        <w:rPr>
          <w:szCs w:val="24"/>
        </w:rPr>
      </w:pPr>
      <w:r w:rsidRPr="00932DA3">
        <w:t>[</w:t>
      </w:r>
      <w:r w:rsidRPr="00932DA3">
        <w:rPr>
          <w:b/>
          <w:szCs w:val="24"/>
        </w:rPr>
        <w:t>Instructions</w:t>
      </w:r>
      <w:r w:rsidR="00932DA3">
        <w:rPr>
          <w:b/>
          <w:szCs w:val="24"/>
        </w:rPr>
        <w:t> </w:t>
      </w:r>
      <w:r w:rsidRPr="00932DA3">
        <w:rPr>
          <w:b/>
          <w:szCs w:val="24"/>
        </w:rPr>
        <w:t>:</w:t>
      </w:r>
      <w:r w:rsidRPr="00932DA3">
        <w:t xml:space="preserve"> </w:t>
      </w:r>
      <w:r w:rsidR="002A49C8" w:rsidRPr="002A49C8">
        <w:t>Tout le texte du rapport doit être aligné à gauche. Insérer une espace entre les paragraphes. Utiliser des numéros de ligne dans tout le texte (utiliser une police de caractère Arial 12). Effacer ce paragraphe après l’achèvement du rapport</w:t>
      </w:r>
      <w:r w:rsidR="00932DA3">
        <w:t>.]</w:t>
      </w:r>
    </w:p>
    <w:p w:rsidR="002C1B1F" w:rsidRPr="00932DA3" w:rsidRDefault="002C1B1F" w:rsidP="002C1B1F">
      <w:pPr>
        <w:rPr>
          <w:szCs w:val="24"/>
        </w:rPr>
      </w:pPr>
    </w:p>
    <w:p w:rsidR="002C1B1F" w:rsidRPr="00932DA3" w:rsidRDefault="002C1B1F" w:rsidP="002C1B1F">
      <w:pPr>
        <w:rPr>
          <w:szCs w:val="24"/>
        </w:rPr>
      </w:pPr>
      <w:r w:rsidRPr="00932DA3">
        <w:t>[</w:t>
      </w:r>
      <w:proofErr w:type="gramStart"/>
      <w:r w:rsidRPr="00932DA3">
        <w:rPr>
          <w:b/>
          <w:szCs w:val="24"/>
        </w:rPr>
        <w:t>date</w:t>
      </w:r>
      <w:proofErr w:type="gramEnd"/>
      <w:r w:rsidRPr="00932DA3">
        <w:t>]</w:t>
      </w:r>
    </w:p>
    <w:p w:rsidR="002C1B1F" w:rsidRPr="007D3C89" w:rsidRDefault="002C1B1F" w:rsidP="002C1B1F">
      <w:pPr>
        <w:rPr>
          <w:szCs w:val="24"/>
        </w:rPr>
      </w:pPr>
    </w:p>
    <w:p w:rsidR="002C1B1F" w:rsidRPr="007D3C89" w:rsidRDefault="00D3564D" w:rsidP="002C1B1F">
      <w:pPr>
        <w:jc w:val="center"/>
        <w:rPr>
          <w:b/>
          <w:szCs w:val="24"/>
        </w:rPr>
      </w:pPr>
      <w:r>
        <w:rPr>
          <w:b/>
          <w:szCs w:val="24"/>
        </w:rPr>
        <w:t>EXAMEN RAPIDE DE</w:t>
      </w:r>
      <w:r w:rsidR="0063403C">
        <w:rPr>
          <w:b/>
          <w:szCs w:val="24"/>
        </w:rPr>
        <w:t xml:space="preserve"> LA</w:t>
      </w:r>
      <w:r w:rsidR="002C1B1F">
        <w:rPr>
          <w:b/>
          <w:szCs w:val="24"/>
        </w:rPr>
        <w:t xml:space="preserve"> CLASSIFICATION</w:t>
      </w:r>
    </w:p>
    <w:p w:rsidR="002C1B1F" w:rsidRPr="007D3C89" w:rsidRDefault="002C1B1F" w:rsidP="002C1B1F">
      <w:pPr>
        <w:rPr>
          <w:szCs w:val="24"/>
        </w:rPr>
      </w:pPr>
    </w:p>
    <w:p w:rsidR="002C1B1F" w:rsidRPr="00C21D45" w:rsidRDefault="002C1B1F" w:rsidP="002C1B1F">
      <w:pPr>
        <w:widowControl/>
        <w:spacing w:after="200"/>
        <w:rPr>
          <w:rFonts w:cs="Arial"/>
        </w:rPr>
      </w:pPr>
      <w:r>
        <w:t>[</w:t>
      </w:r>
      <w:r w:rsidR="00684FCF">
        <w:t>L</w:t>
      </w:r>
      <w:r w:rsidR="0063403C">
        <w:t>e processus d</w:t>
      </w:r>
      <w:r w:rsidRPr="00145A90">
        <w:t>’examen rapide</w:t>
      </w:r>
      <w:r>
        <w:t xml:space="preserve"> </w:t>
      </w:r>
      <w:r w:rsidR="0063403C">
        <w:t>de la</w:t>
      </w:r>
      <w:r>
        <w:t xml:space="preserve"> classification (</w:t>
      </w:r>
      <w:r w:rsidR="0063403C">
        <w:t>ERC</w:t>
      </w:r>
      <w:r>
        <w:t>) ne peut être utilisé que pour la classification des espèces qui conserveront leur statu</w:t>
      </w:r>
      <w:r w:rsidR="00145A90">
        <w:t>t et qui sont dans la catégorie </w:t>
      </w:r>
      <w:r>
        <w:t>5 de</w:t>
      </w:r>
      <w:r w:rsidR="00145A90">
        <w:t xml:space="preserve"> la matrice d’établissement des priorités </w:t>
      </w:r>
      <w:r w:rsidR="0063403C">
        <w:t>pour l</w:t>
      </w:r>
      <w:r>
        <w:t xml:space="preserve">’examen </w:t>
      </w:r>
      <w:r w:rsidR="00145A90">
        <w:t>de</w:t>
      </w:r>
      <w:r>
        <w:t xml:space="preserve"> </w:t>
      </w:r>
      <w:r w:rsidR="0063403C">
        <w:t xml:space="preserve">la </w:t>
      </w:r>
      <w:r>
        <w:t>classification. L’</w:t>
      </w:r>
      <w:r w:rsidR="0063403C">
        <w:t>ERC</w:t>
      </w:r>
      <w:r>
        <w:t xml:space="preserve"> </w:t>
      </w:r>
      <w:r w:rsidR="00145A90">
        <w:t>fait partie du</w:t>
      </w:r>
      <w:r>
        <w:t xml:space="preserve"> processus d’examen officiel du COSEPAC </w:t>
      </w:r>
      <w:r w:rsidR="00145A90">
        <w:t>au même titre que le</w:t>
      </w:r>
      <w:r>
        <w:t xml:space="preserve"> rapport de situat</w:t>
      </w:r>
      <w:r w:rsidR="00145A90">
        <w:t>ion provisoire de six mois ou le</w:t>
      </w:r>
      <w:r>
        <w:t xml:space="preserve"> sommaire du statut de l’espèce; toutefois, comme dans le cas d’un sommaire du st</w:t>
      </w:r>
      <w:r w:rsidR="00145A90">
        <w:t xml:space="preserve">atut de l’espèce, le </w:t>
      </w:r>
      <w:r w:rsidR="00466FC2">
        <w:t>sous-comité de spécialistes</w:t>
      </w:r>
      <w:r w:rsidR="00145A90">
        <w:t xml:space="preserve"> </w:t>
      </w:r>
      <w:r w:rsidR="008A1EFC">
        <w:t xml:space="preserve">des espèces </w:t>
      </w:r>
      <w:r w:rsidR="00145A90">
        <w:t>doit</w:t>
      </w:r>
      <w:r>
        <w:t xml:space="preserve"> consulter les administrations, le sous-comité des </w:t>
      </w:r>
      <w:r w:rsidR="008A1EFC">
        <w:t>connaissances traditionnelles autochtones</w:t>
      </w:r>
      <w:r>
        <w:t xml:space="preserve">, les conseils de gestion de la faune, les coprésidents de l’équipe de rétablissement ou des experts externes au plus tard 7,5 ans après l’évaluation précédente pour identifier les espèces sauvages pour </w:t>
      </w:r>
      <w:r w:rsidRPr="00466FC2">
        <w:t>lesquelles le processus d’</w:t>
      </w:r>
      <w:r w:rsidR="0063403C">
        <w:t>ERC</w:t>
      </w:r>
      <w:r w:rsidRPr="00466FC2">
        <w:t xml:space="preserve"> serait approprié. </w:t>
      </w:r>
      <w:r w:rsidR="00466FC2" w:rsidRPr="00466FC2">
        <w:t>Saisissez les</w:t>
      </w:r>
      <w:r w:rsidRPr="00466FC2">
        <w:t xml:space="preserve"> données disponibles dans </w:t>
      </w:r>
      <w:r w:rsidR="00466FC2">
        <w:t xml:space="preserve">le logiciel </w:t>
      </w:r>
      <w:r w:rsidRPr="00466FC2">
        <w:t>RAMAS</w:t>
      </w:r>
      <w:r w:rsidR="00466FC2">
        <w:t> </w:t>
      </w:r>
      <w:proofErr w:type="spellStart"/>
      <w:r w:rsidR="00466FC2">
        <w:t>Red</w:t>
      </w:r>
      <w:proofErr w:type="spellEnd"/>
      <w:r w:rsidR="00466FC2">
        <w:t> </w:t>
      </w:r>
      <w:r w:rsidR="00466FC2" w:rsidRPr="00466FC2">
        <w:t>List</w:t>
      </w:r>
      <w:r w:rsidR="00466FC2">
        <w:t>. Utilisez</w:t>
      </w:r>
      <w:r>
        <w:t xml:space="preserve"> les données du précédent rapport de situation du COSEPAC, </w:t>
      </w:r>
      <w:r w:rsidR="00EF4B7C">
        <w:t>d</w:t>
      </w:r>
      <w:r>
        <w:t xml:space="preserve">es documents de rétablissement, </w:t>
      </w:r>
      <w:r w:rsidR="00EF4B7C">
        <w:t>d</w:t>
      </w:r>
      <w:r>
        <w:t xml:space="preserve">es équipes de rétablissement, </w:t>
      </w:r>
      <w:r w:rsidR="00EF4B7C">
        <w:t>d</w:t>
      </w:r>
      <w:r>
        <w:t xml:space="preserve">es administrations, </w:t>
      </w:r>
      <w:r w:rsidR="00EF4B7C">
        <w:t>d</w:t>
      </w:r>
      <w:r>
        <w:t xml:space="preserve">es centres de données sur la conservation et </w:t>
      </w:r>
      <w:r w:rsidR="00EF4B7C">
        <w:t>des experts de</w:t>
      </w:r>
      <w:r>
        <w:t xml:space="preserve"> </w:t>
      </w:r>
      <w:r w:rsidR="00EF4B7C">
        <w:t>l’</w:t>
      </w:r>
      <w:r>
        <w:t>espèce. Le résumé technique du COSEPAC contient la quantité minimale d’informations</w:t>
      </w:r>
      <w:r w:rsidR="00EF4B7C">
        <w:t xml:space="preserve"> nécessaires pour RAMAS </w:t>
      </w:r>
      <w:proofErr w:type="spellStart"/>
      <w:r w:rsidR="00EF4B7C">
        <w:t>Red</w:t>
      </w:r>
      <w:proofErr w:type="spellEnd"/>
      <w:r w:rsidR="00EF4B7C">
        <w:t xml:space="preserve"> List</w:t>
      </w:r>
      <w:r>
        <w:t>,</w:t>
      </w:r>
      <w:r w:rsidR="00EF4B7C">
        <w:t xml:space="preserve"> mais l’ajout de commentaires dans les</w:t>
      </w:r>
      <w:r>
        <w:t xml:space="preserve"> différents champs d</w:t>
      </w:r>
      <w:r w:rsidR="00EF4B7C">
        <w:t>u logiciel</w:t>
      </w:r>
      <w:r>
        <w:t>, comme ceux q</w:t>
      </w:r>
      <w:r w:rsidR="00EF4B7C">
        <w:t>ui se trouvent sous l’onglet « Écologie</w:t>
      </w:r>
      <w:r>
        <w:t xml:space="preserve"> », permettra aux examinateurs de mieux comprendre l’espèce et les raisons qui justifient les différentes données. Utilisez le champ « Commentaires » sous l’onglet « Évaluation » comme vous le feriez dans la </w:t>
      </w:r>
      <w:r>
        <w:rPr>
          <w:b/>
        </w:rPr>
        <w:t>Préface</w:t>
      </w:r>
      <w:r>
        <w:t xml:space="preserve"> pour les rapports d</w:t>
      </w:r>
      <w:r w:rsidR="0045174A">
        <w:t>e situation</w:t>
      </w:r>
      <w:r>
        <w:t xml:space="preserve"> entièrement mis à jour : « </w:t>
      </w:r>
      <w:r w:rsidRPr="00EA3CE7">
        <w:t>Faites un résumé</w:t>
      </w:r>
      <w:r>
        <w:t xml:space="preserve"> des nouveaux renseignements recueillis depuis la dernière évaluation de l’espèce sauvage. Mettez l’accent sur les éléments pertinents à l’application des critères d’évaluation, comme les changements dans la taxinomie, la taille de la population, les tendances, la zone d’occurrence ou la zone d’occupation. » Assurez-vous que la section </w:t>
      </w:r>
      <w:r w:rsidR="00EA3CE7">
        <w:t>« </w:t>
      </w:r>
      <w:r>
        <w:t>Référence</w:t>
      </w:r>
      <w:r w:rsidR="00EA3CE7">
        <w:t>s »</w:t>
      </w:r>
      <w:r>
        <w:t xml:space="preserve"> dans RAMAS (sous l’onglet « Évaluation ») comprend toutes les références utilisées pour entrer des données et que les sources d’information contiennent les références citées dans le Résumé technique. Pour terminer, l’</w:t>
      </w:r>
      <w:r w:rsidR="0063403C">
        <w:t>ERC</w:t>
      </w:r>
      <w:r>
        <w:t xml:space="preserve"> sera annexé au précédent rapport de situation/sommaire du statut de l’espèce. Il pourrait être plus efficace de remplir un nouveau résumé technique avant d</w:t>
      </w:r>
      <w:r w:rsidR="00915495">
        <w:t>e saisir</w:t>
      </w:r>
      <w:r>
        <w:t xml:space="preserve"> des données dans RAMAS.</w:t>
      </w:r>
    </w:p>
    <w:p w:rsidR="002C1B1F" w:rsidRDefault="00EA3CE7" w:rsidP="002C1B1F">
      <w:pPr>
        <w:widowControl/>
        <w:spacing w:after="200"/>
        <w:rPr>
          <w:rFonts w:eastAsia="Calibri" w:cs="Arial"/>
          <w:b/>
          <w:sz w:val="22"/>
          <w:szCs w:val="22"/>
        </w:rPr>
      </w:pPr>
      <w:r>
        <w:t>De manière</w:t>
      </w:r>
      <w:r w:rsidR="002C1B1F">
        <w:t xml:space="preserve"> général</w:t>
      </w:r>
      <w:r>
        <w:t>e</w:t>
      </w:r>
      <w:r w:rsidR="002C1B1F">
        <w:t>, les données ne sont pas disponibles pour la saisie dans RAMAS pour les espèces disparues du pays. Par conséquent, aucune donnée ne sera disponible dans RAMAS. De même, un résumé technique complet n’est pas requis pour les espèces di</w:t>
      </w:r>
      <w:r w:rsidR="00915495">
        <w:t>sparues du pays dont l’examen de</w:t>
      </w:r>
      <w:r w:rsidR="002C1B1F">
        <w:t xml:space="preserve"> </w:t>
      </w:r>
      <w:r w:rsidR="0063403C">
        <w:t xml:space="preserve">la </w:t>
      </w:r>
      <w:r w:rsidR="002C1B1F">
        <w:t xml:space="preserve">classification est effectué </w:t>
      </w:r>
      <w:r w:rsidR="00915495">
        <w:t xml:space="preserve">au moyen </w:t>
      </w:r>
      <w:r w:rsidR="00915495">
        <w:lastRenderedPageBreak/>
        <w:t>de l’</w:t>
      </w:r>
      <w:r w:rsidR="0063403C">
        <w:t>ERC</w:t>
      </w:r>
      <w:r w:rsidR="00915495">
        <w:t>. Seule</w:t>
      </w:r>
      <w:r w:rsidR="00397D96">
        <w:t>s</w:t>
      </w:r>
      <w:r w:rsidR="000378ED">
        <w:t xml:space="preserve"> les sections de la</w:t>
      </w:r>
      <w:r w:rsidR="00915495">
        <w:t xml:space="preserve"> justification de la </w:t>
      </w:r>
      <w:r w:rsidR="002C1B1F">
        <w:t>désignation et</w:t>
      </w:r>
      <w:r w:rsidR="000378ED">
        <w:t xml:space="preserve"> de</w:t>
      </w:r>
      <w:r w:rsidR="002C1B1F">
        <w:t xml:space="preserve"> l’applicabilité des critères doivent être inclus</w:t>
      </w:r>
      <w:r w:rsidR="00397D96">
        <w:t>es</w:t>
      </w:r>
      <w:r w:rsidR="002C1B1F">
        <w:t xml:space="preserve"> dans l’</w:t>
      </w:r>
      <w:r w:rsidR="0063403C">
        <w:t>ERC</w:t>
      </w:r>
      <w:r w:rsidR="002C1B1F">
        <w:t xml:space="preserve"> des espèces disparues du pays.]</w:t>
      </w:r>
      <w:r w:rsidR="002C1B1F">
        <w:rPr>
          <w:b/>
          <w:sz w:val="22"/>
          <w:szCs w:val="22"/>
        </w:rPr>
        <w:t xml:space="preserve"> </w:t>
      </w:r>
    </w:p>
    <w:p w:rsidR="002C1B1F" w:rsidRPr="008A6364" w:rsidRDefault="002C1B1F" w:rsidP="002C1B1F">
      <w:pPr>
        <w:widowControl/>
        <w:spacing w:after="200"/>
        <w:rPr>
          <w:rFonts w:eastAsia="Calibri" w:cs="Arial"/>
          <w:szCs w:val="24"/>
        </w:rPr>
      </w:pPr>
      <w:r>
        <w:rPr>
          <w:b/>
          <w:szCs w:val="24"/>
        </w:rPr>
        <w:t>PRÉFACE</w:t>
      </w:r>
    </w:p>
    <w:p w:rsidR="002C1B1F" w:rsidRPr="000A6BE3" w:rsidRDefault="002C1B1F" w:rsidP="002C1B1F">
      <w:pPr>
        <w:widowControl/>
        <w:spacing w:after="200"/>
        <w:ind w:firstLine="720"/>
        <w:rPr>
          <w:rFonts w:eastAsia="Calibri" w:cs="Arial"/>
          <w:color w:val="333333"/>
          <w:sz w:val="22"/>
          <w:szCs w:val="22"/>
          <w:shd w:val="clear" w:color="auto" w:fill="FFFFFF"/>
        </w:rPr>
      </w:pPr>
      <w:r>
        <w:rPr>
          <w:b/>
          <w:color w:val="333333"/>
          <w:sz w:val="22"/>
          <w:szCs w:val="22"/>
          <w:shd w:val="clear" w:color="auto" w:fill="FFFFFF"/>
        </w:rPr>
        <w:t xml:space="preserve">[Instructions : </w:t>
      </w:r>
      <w:r>
        <w:rPr>
          <w:color w:val="333333"/>
          <w:sz w:val="22"/>
          <w:szCs w:val="22"/>
          <w:shd w:val="clear" w:color="auto" w:fill="FFFFFF"/>
        </w:rPr>
        <w:t>Faites un résumé des nouveaux renseignements recueillis depuis la dernière évaluation de l’espèce sauvage. Mettez l’accent sur les éléments pertinents à l’application des critères d’évaluation, comme les changements dans la taxinomie, la taille de la population, les tendances, la zone d’occurrence ou la zone d’occupation.</w:t>
      </w:r>
    </w:p>
    <w:p w:rsidR="002C1B1F" w:rsidRPr="007D3C89" w:rsidRDefault="002C1B1F" w:rsidP="002C1B1F">
      <w:pPr>
        <w:rPr>
          <w:szCs w:val="24"/>
        </w:rPr>
      </w:pPr>
      <w:r>
        <w:rPr>
          <w:b/>
          <w:szCs w:val="24"/>
        </w:rPr>
        <w:t>Statut actuel</w:t>
      </w:r>
      <w:r>
        <w:t xml:space="preserve"> [statut (mois année) critère</w:t>
      </w:r>
      <w:r w:rsidR="00915495">
        <w:t>s [p. ex. En voie de disparition</w:t>
      </w:r>
      <w:r>
        <w:t xml:space="preserve"> (avril 2008) B1ac(iv)+2ac(iv)]</w:t>
      </w:r>
    </w:p>
    <w:p w:rsidR="002C1B1F" w:rsidRPr="007D3C89" w:rsidRDefault="002C1B1F" w:rsidP="002C1B1F">
      <w:pPr>
        <w:rPr>
          <w:szCs w:val="24"/>
        </w:rPr>
      </w:pPr>
    </w:p>
    <w:p w:rsidR="002C1B1F" w:rsidRPr="007D3C89" w:rsidRDefault="002C1B1F" w:rsidP="002C1B1F">
      <w:pPr>
        <w:rPr>
          <w:szCs w:val="24"/>
        </w:rPr>
      </w:pPr>
      <w:r>
        <w:rPr>
          <w:b/>
          <w:szCs w:val="24"/>
        </w:rPr>
        <w:t>Carte mise à jour :</w:t>
      </w:r>
      <w:r>
        <w:t xml:space="preserve"> </w:t>
      </w:r>
      <w:r>
        <w:tab/>
      </w:r>
      <w:r>
        <w:rPr>
          <w:b/>
          <w:szCs w:val="24"/>
        </w:rPr>
        <w:t xml:space="preserve"> </w:t>
      </w:r>
      <w:r>
        <w:rPr>
          <w:b/>
          <w:szCs w:val="24"/>
        </w:rPr>
        <w:tab/>
        <w:t>Requis</w:t>
      </w:r>
      <w:r w:rsidR="00915495">
        <w:rPr>
          <w:b/>
          <w:szCs w:val="24"/>
        </w:rPr>
        <w:t>e</w:t>
      </w:r>
      <w:r>
        <w:rPr>
          <w:b/>
          <w:szCs w:val="24"/>
        </w:rPr>
        <w:t xml:space="preserve">    </w:t>
      </w:r>
      <w:r>
        <w:rPr>
          <w:b/>
          <w:szCs w:val="24"/>
        </w:rPr>
        <w:tab/>
      </w:r>
      <w:r>
        <w:rPr>
          <w:b/>
          <w:szCs w:val="24"/>
        </w:rPr>
        <w:tab/>
      </w:r>
      <w:r>
        <w:rPr>
          <w:b/>
          <w:szCs w:val="24"/>
        </w:rPr>
        <w:t></w:t>
      </w:r>
      <w:r>
        <w:rPr>
          <w:b/>
          <w:szCs w:val="24"/>
        </w:rPr>
        <w:tab/>
        <w:t>Non requis</w:t>
      </w:r>
      <w:r w:rsidR="00915495">
        <w:rPr>
          <w:b/>
          <w:szCs w:val="24"/>
        </w:rPr>
        <w:t>e</w:t>
      </w:r>
      <w:r>
        <w:t xml:space="preserve">  </w:t>
      </w:r>
      <w:r>
        <w:tab/>
      </w:r>
      <w:r>
        <w:tab/>
      </w:r>
    </w:p>
    <w:p w:rsidR="002C1B1F" w:rsidRPr="007D3C89" w:rsidRDefault="002C1B1F" w:rsidP="002C1B1F">
      <w:pPr>
        <w:rPr>
          <w:szCs w:val="24"/>
        </w:rPr>
      </w:pPr>
    </w:p>
    <w:p w:rsidR="002C1B1F" w:rsidRPr="007D3C89" w:rsidRDefault="002C1B1F" w:rsidP="002C1B1F">
      <w:pPr>
        <w:rPr>
          <w:b/>
          <w:szCs w:val="24"/>
        </w:rPr>
      </w:pPr>
      <w:r>
        <w:rPr>
          <w:b/>
          <w:szCs w:val="24"/>
        </w:rPr>
        <w:t>Explication/carte actualisée</w:t>
      </w:r>
      <w:r w:rsidR="00915495">
        <w:rPr>
          <w:b/>
          <w:szCs w:val="24"/>
        </w:rPr>
        <w:t> :</w:t>
      </w:r>
    </w:p>
    <w:p w:rsidR="002C1B1F" w:rsidRPr="007D3C89" w:rsidRDefault="002C1B1F" w:rsidP="002C1B1F">
      <w:pPr>
        <w:rPr>
          <w:szCs w:val="24"/>
        </w:rPr>
      </w:pPr>
    </w:p>
    <w:p w:rsidR="002C1B1F" w:rsidRPr="007D3C89" w:rsidRDefault="002C1B1F" w:rsidP="002C1B1F">
      <w:pPr>
        <w:rPr>
          <w:szCs w:val="24"/>
        </w:rPr>
      </w:pPr>
      <w:r>
        <w:t>[</w:t>
      </w:r>
      <w:proofErr w:type="gramStart"/>
      <w:r>
        <w:t>fournir</w:t>
      </w:r>
      <w:proofErr w:type="gramEnd"/>
      <w:r>
        <w:t xml:space="preserve"> une carte ou option : </w:t>
      </w:r>
    </w:p>
    <w:p w:rsidR="002C1B1F" w:rsidRPr="007D3C89" w:rsidRDefault="002C1B1F" w:rsidP="002C1B1F">
      <w:pPr>
        <w:rPr>
          <w:szCs w:val="24"/>
        </w:rPr>
      </w:pPr>
      <w:r>
        <w:t>Non requis</w:t>
      </w:r>
      <w:r w:rsidR="00915495">
        <w:t>e</w:t>
      </w:r>
      <w:r>
        <w:t>. Voir l’évaluation précédente (COSEPAC ____).</w:t>
      </w:r>
    </w:p>
    <w:p w:rsidR="002C1B1F" w:rsidRDefault="002C1B1F" w:rsidP="002C1B1F">
      <w:pPr>
        <w:rPr>
          <w:b/>
          <w:szCs w:val="24"/>
        </w:rPr>
      </w:pPr>
    </w:p>
    <w:p w:rsidR="002C1B1F" w:rsidRDefault="002C1B1F" w:rsidP="002C1B1F">
      <w:pPr>
        <w:rPr>
          <w:b/>
          <w:szCs w:val="24"/>
        </w:rPr>
      </w:pPr>
    </w:p>
    <w:p w:rsidR="00743DAD" w:rsidRPr="00D72A66" w:rsidRDefault="00743DAD" w:rsidP="00743DAD">
      <w:pPr>
        <w:rPr>
          <w:b/>
          <w:szCs w:val="24"/>
        </w:rPr>
      </w:pPr>
      <w:r>
        <w:rPr>
          <w:b/>
          <w:szCs w:val="24"/>
        </w:rPr>
        <w:t>RÉSUMÉ TECHNIQUE</w:t>
      </w:r>
    </w:p>
    <w:p w:rsidR="00743DAD" w:rsidRPr="00CB0BD7" w:rsidRDefault="00743DAD" w:rsidP="00743DAD">
      <w:pPr>
        <w:rPr>
          <w:rFonts w:cs="Arial"/>
          <w:szCs w:val="24"/>
        </w:rPr>
      </w:pPr>
    </w:p>
    <w:p w:rsidR="00743DAD" w:rsidRPr="0043095F" w:rsidRDefault="00743DAD" w:rsidP="00743DAD">
      <w:pPr>
        <w:pStyle w:val="BodyTextI2"/>
        <w:rPr>
          <w:rFonts w:cs="Arial"/>
        </w:rPr>
      </w:pPr>
      <w:r>
        <w:rPr>
          <w:b/>
        </w:rPr>
        <w:t xml:space="preserve">Instructions (à supprimer une fois </w:t>
      </w:r>
      <w:r w:rsidR="002A49C8">
        <w:rPr>
          <w:b/>
        </w:rPr>
        <w:t xml:space="preserve">le rapport </w:t>
      </w:r>
      <w:r>
        <w:rPr>
          <w:b/>
        </w:rPr>
        <w:t>terminé) :</w:t>
      </w:r>
      <w:r>
        <w:t xml:space="preserve"> Remplissez le résumé technique après avoir terminé le rapport. Fournissez un résumé technique pour chaque unité désignable proposée (voir les </w:t>
      </w:r>
      <w:hyperlink r:id="rId7" w:history="1">
        <w:r>
          <w:rPr>
            <w:rStyle w:val="Hyperlink"/>
          </w:rPr>
          <w:t>Lignes directrices pour reconnaître les unités désignables</w:t>
        </w:r>
      </w:hyperlink>
      <w:r>
        <w:t>) ainsi que pour l’espèc</w:t>
      </w:r>
      <w:r w:rsidR="002A49C8">
        <w:t xml:space="preserve">e dans son ensemble au Canada. Pour la signification des termes dans le présent résumé technique, </w:t>
      </w:r>
      <w:proofErr w:type="spellStart"/>
      <w:r w:rsidR="002A49C8">
        <w:t>veuillez</w:t>
      </w:r>
      <w:r w:rsidR="00397D96">
        <w:t xml:space="preserve"> </w:t>
      </w:r>
      <w:r w:rsidR="002A49C8">
        <w:t>vous</w:t>
      </w:r>
      <w:proofErr w:type="spellEnd"/>
      <w:r w:rsidR="002A49C8">
        <w:t xml:space="preserve"> référer à la section intitulée </w:t>
      </w:r>
      <w:hyperlink r:id="rId8" w:history="1">
        <w:r w:rsidR="002A49C8">
          <w:rPr>
            <w:rStyle w:val="Hyperlink"/>
          </w:rPr>
          <w:t>Définitions et abréviations</w:t>
        </w:r>
      </w:hyperlink>
      <w:r w:rsidR="002A49C8">
        <w:t xml:space="preserve">, sur la même page que les </w:t>
      </w:r>
      <w:hyperlink r:id="rId9" w:history="1">
        <w:r w:rsidR="002A49C8">
          <w:rPr>
            <w:rStyle w:val="Hyperlink"/>
          </w:rPr>
          <w:t>Renseignements pour la préparation des rapports de situation du COSEPAC</w:t>
        </w:r>
      </w:hyperlink>
      <w:bookmarkStart w:id="0" w:name="_GoBack"/>
      <w:bookmarkEnd w:id="0"/>
      <w:r w:rsidR="002A49C8">
        <w:t>, sur le site Web du COSEPAC (</w:t>
      </w:r>
      <w:hyperlink r:id="rId10" w:history="1">
        <w:r w:rsidR="002A49C8">
          <w:rPr>
            <w:rStyle w:val="Hyperlink"/>
          </w:rPr>
          <w:t>https://cosewic.ca/index.php/fr/</w:t>
        </w:r>
      </w:hyperlink>
      <w:r w:rsidR="002A49C8">
        <w:t>).</w:t>
      </w:r>
    </w:p>
    <w:p w:rsidR="00743DAD" w:rsidRPr="0043095F" w:rsidRDefault="00743DAD" w:rsidP="00743DAD">
      <w:pPr>
        <w:pStyle w:val="BodyTextI2"/>
        <w:rPr>
          <w:rFonts w:cs="Arial"/>
        </w:rPr>
      </w:pPr>
    </w:p>
    <w:p w:rsidR="00743DAD" w:rsidRPr="0043095F" w:rsidRDefault="00743DAD" w:rsidP="00743DAD">
      <w:pPr>
        <w:rPr>
          <w:bCs/>
        </w:rPr>
      </w:pPr>
      <w:r>
        <w:t>Fournissez les données et les renseignements complémentaires pertine</w:t>
      </w:r>
      <w:r w:rsidR="002A49C8">
        <w:t xml:space="preserve">nts dans la colonne de droite. </w:t>
      </w:r>
      <w:r>
        <w:t>Dans les champs « </w:t>
      </w:r>
      <w:r>
        <w:rPr>
          <w:b/>
          <w:bCs/>
        </w:rPr>
        <w:t>observé, inféré ou prévu</w:t>
      </w:r>
      <w:r>
        <w:t> », etc., laissez le texte tel quel dans la colonne de gauche et ajoutez un texte tel que « </w:t>
      </w:r>
      <w:r>
        <w:rPr>
          <w:b/>
          <w:bCs/>
        </w:rPr>
        <w:t>oui, inféré</w:t>
      </w:r>
      <w:r>
        <w:t> » ou « </w:t>
      </w:r>
      <w:r>
        <w:rPr>
          <w:b/>
          <w:bCs/>
        </w:rPr>
        <w:t>oui, inféré et prévu</w:t>
      </w:r>
      <w:r>
        <w:t xml:space="preserve"> » dans la colonne de droite. </w:t>
      </w:r>
    </w:p>
    <w:p w:rsidR="00743DAD" w:rsidRPr="0043095F" w:rsidRDefault="00743DAD" w:rsidP="00743DAD">
      <w:pPr>
        <w:ind w:firstLine="540"/>
        <w:rPr>
          <w:rFonts w:cs="Arial"/>
        </w:rPr>
      </w:pPr>
    </w:p>
    <w:p w:rsidR="00743DAD" w:rsidRPr="00CB0BD7" w:rsidRDefault="00743DAD" w:rsidP="00743DAD">
      <w:pPr>
        <w:rPr>
          <w:rFonts w:cs="Arial"/>
        </w:rPr>
      </w:pPr>
      <w:r>
        <w:t>Si des détails sur des éléments du résumé technique sont fournis dans le texte du rapport de situation, citez les sections pertinentes. Si un él</w:t>
      </w:r>
      <w:r w:rsidR="002A49C8">
        <w:t>ément ne s’applique pas (p. </w:t>
      </w:r>
      <w:r>
        <w:t xml:space="preserve">ex. une analyse quantitative n’a pas été effectuée), supprimez le texte entre les crochets.  </w:t>
      </w:r>
    </w:p>
    <w:p w:rsidR="00743DAD" w:rsidRPr="00CB0BD7" w:rsidRDefault="00743DAD" w:rsidP="00743DAD">
      <w:pPr>
        <w:rPr>
          <w:rFonts w:cs="Arial"/>
        </w:rPr>
      </w:pPr>
    </w:p>
    <w:p w:rsidR="00743DAD" w:rsidRPr="00CB0BD7" w:rsidRDefault="00743DAD" w:rsidP="00743DAD">
      <w:pPr>
        <w:rPr>
          <w:szCs w:val="24"/>
        </w:rPr>
      </w:pPr>
      <w:r>
        <w:t xml:space="preserve">Si vous utilisez un pourcentage, indiquez clairement s’il fait référence à une augmentation ou à une réduction en le faisant précéder </w:t>
      </w:r>
      <w:r w:rsidR="002A49C8">
        <w:t xml:space="preserve">d’un symbole de valeur positive </w:t>
      </w:r>
      <w:r>
        <w:t xml:space="preserve">ou négative. Veuillez supprimer ces quatre paragraphes d’instructions lorsque vous aurez rempli le résumé technique.] </w:t>
      </w:r>
    </w:p>
    <w:p w:rsidR="00743DAD" w:rsidRPr="00CB0BD7" w:rsidRDefault="00743DAD" w:rsidP="00743DAD">
      <w:pPr>
        <w:ind w:firstLine="540"/>
        <w:rPr>
          <w:szCs w:val="24"/>
        </w:rPr>
      </w:pPr>
    </w:p>
    <w:p w:rsidR="00743DAD" w:rsidRPr="00CB0BD7" w:rsidRDefault="00743DAD" w:rsidP="00743DAD">
      <w:pPr>
        <w:ind w:firstLine="540"/>
        <w:rPr>
          <w:szCs w:val="24"/>
        </w:rPr>
      </w:pPr>
    </w:p>
    <w:tbl>
      <w:tblPr>
        <w:tblW w:w="5000" w:type="pct"/>
        <w:tblLook w:val="0000" w:firstRow="0" w:lastRow="0" w:firstColumn="0" w:lastColumn="0" w:noHBand="0" w:noVBand="0"/>
      </w:tblPr>
      <w:tblGrid>
        <w:gridCol w:w="5341"/>
        <w:gridCol w:w="4019"/>
      </w:tblGrid>
      <w:tr w:rsidR="00743DAD" w:rsidRPr="00CB0BD7" w:rsidTr="000A623E">
        <w:trPr>
          <w:cantSplit/>
        </w:trPr>
        <w:tc>
          <w:tcPr>
            <w:tcW w:w="5000" w:type="pct"/>
            <w:gridSpan w:val="2"/>
            <w:tcBorders>
              <w:top w:val="nil"/>
              <w:left w:val="nil"/>
              <w:bottom w:val="nil"/>
              <w:right w:val="nil"/>
            </w:tcBorders>
          </w:tcPr>
          <w:p w:rsidR="00743DAD" w:rsidRPr="00CB0BD7" w:rsidRDefault="00743DAD" w:rsidP="000A623E">
            <w:pPr>
              <w:pStyle w:val="Normalitalic"/>
            </w:pPr>
            <w:r>
              <w:lastRenderedPageBreak/>
              <w:t>[Genre espèce]</w:t>
            </w:r>
          </w:p>
        </w:tc>
      </w:tr>
      <w:tr w:rsidR="00743DAD" w:rsidRPr="00CB0BD7" w:rsidTr="000A623E">
        <w:trPr>
          <w:cantSplit/>
        </w:trPr>
        <w:tc>
          <w:tcPr>
            <w:tcW w:w="2853" w:type="pct"/>
            <w:tcBorders>
              <w:top w:val="nil"/>
              <w:left w:val="nil"/>
              <w:bottom w:val="nil"/>
              <w:right w:val="nil"/>
            </w:tcBorders>
          </w:tcPr>
          <w:p w:rsidR="00743DAD" w:rsidRPr="00CB0BD7" w:rsidRDefault="002A49C8" w:rsidP="000A623E">
            <w:r>
              <w:t>[</w:t>
            </w:r>
            <w:r w:rsidR="00743DAD">
              <w:t>Nom commun français</w:t>
            </w:r>
            <w:r>
              <w:t>]</w:t>
            </w:r>
          </w:p>
          <w:p w:rsidR="00743DAD" w:rsidRPr="00CB0BD7" w:rsidRDefault="00743DAD" w:rsidP="000A623E">
            <w:r>
              <w:t>[Nom commun anglais]</w:t>
            </w:r>
          </w:p>
          <w:p w:rsidR="00743DAD" w:rsidRPr="00CB0BD7" w:rsidRDefault="00743DAD" w:rsidP="000A623E"/>
        </w:tc>
        <w:tc>
          <w:tcPr>
            <w:tcW w:w="2147" w:type="pct"/>
            <w:tcBorders>
              <w:top w:val="nil"/>
              <w:left w:val="nil"/>
              <w:bottom w:val="nil"/>
              <w:right w:val="nil"/>
            </w:tcBorders>
          </w:tcPr>
          <w:p w:rsidR="00743DAD" w:rsidRPr="00CB0BD7" w:rsidRDefault="00743DAD" w:rsidP="000A623E"/>
        </w:tc>
      </w:tr>
      <w:tr w:rsidR="00743DAD" w:rsidRPr="00CB0BD7" w:rsidTr="000A623E">
        <w:trPr>
          <w:cantSplit/>
          <w:trHeight w:val="80"/>
        </w:trPr>
        <w:tc>
          <w:tcPr>
            <w:tcW w:w="5000" w:type="pct"/>
            <w:gridSpan w:val="2"/>
            <w:tcBorders>
              <w:top w:val="nil"/>
              <w:left w:val="nil"/>
              <w:bottom w:val="nil"/>
              <w:right w:val="nil"/>
            </w:tcBorders>
          </w:tcPr>
          <w:p w:rsidR="00743DAD" w:rsidRPr="00CB0BD7" w:rsidRDefault="00743DAD" w:rsidP="000A623E">
            <w:r>
              <w:t>Répartition au Canada (province/territoire/océan) :</w:t>
            </w:r>
          </w:p>
        </w:tc>
      </w:tr>
    </w:tbl>
    <w:p w:rsidR="00743DAD" w:rsidRPr="00CB0BD7" w:rsidRDefault="00743DAD" w:rsidP="00743DAD">
      <w:pPr>
        <w:pStyle w:val="BodyTextI2"/>
        <w:tabs>
          <w:tab w:val="clear" w:pos="0"/>
          <w:tab w:val="left" w:pos="426"/>
        </w:tabs>
        <w:ind w:left="567" w:hanging="27"/>
        <w:rPr>
          <w:rFonts w:cs="Arial"/>
          <w:u w:val="single"/>
        </w:rPr>
      </w:pPr>
    </w:p>
    <w:tbl>
      <w:tblPr>
        <w:tblW w:w="5027" w:type="pct"/>
        <w:tblInd w:w="-7" w:type="dxa"/>
        <w:tblLayout w:type="fixed"/>
        <w:tblLook w:val="0000" w:firstRow="0" w:lastRow="0" w:firstColumn="0" w:lastColumn="0" w:noHBand="0" w:noVBand="0"/>
      </w:tblPr>
      <w:tblGrid>
        <w:gridCol w:w="725"/>
        <w:gridCol w:w="1434"/>
        <w:gridCol w:w="2159"/>
        <w:gridCol w:w="1148"/>
        <w:gridCol w:w="1011"/>
        <w:gridCol w:w="88"/>
        <w:gridCol w:w="301"/>
        <w:gridCol w:w="2545"/>
      </w:tblGrid>
      <w:tr w:rsidR="00743DAD" w:rsidRPr="00CB0BD7" w:rsidTr="000A623E">
        <w:trPr>
          <w:gridAfter w:val="3"/>
          <w:wAfter w:w="1559" w:type="pct"/>
          <w:cantSplit/>
        </w:trPr>
        <w:tc>
          <w:tcPr>
            <w:tcW w:w="1147" w:type="pct"/>
            <w:gridSpan w:val="2"/>
          </w:tcPr>
          <w:p w:rsidR="00743DAD" w:rsidRPr="00CB0BD7" w:rsidRDefault="00743DAD" w:rsidP="000A623E">
            <w:pPr>
              <w:pStyle w:val="NormalBold"/>
              <w:rPr>
                <w:b w:val="0"/>
              </w:rPr>
            </w:pPr>
          </w:p>
        </w:tc>
        <w:tc>
          <w:tcPr>
            <w:tcW w:w="1147" w:type="pct"/>
          </w:tcPr>
          <w:p w:rsidR="00743DAD" w:rsidRPr="00CB0BD7" w:rsidRDefault="00743DAD" w:rsidP="000A623E">
            <w:pPr>
              <w:pStyle w:val="NormalBold"/>
              <w:rPr>
                <w:b w:val="0"/>
              </w:rPr>
            </w:pPr>
          </w:p>
        </w:tc>
        <w:tc>
          <w:tcPr>
            <w:tcW w:w="1147" w:type="pct"/>
            <w:gridSpan w:val="2"/>
          </w:tcPr>
          <w:p w:rsidR="00743DAD" w:rsidRPr="00CB0BD7" w:rsidRDefault="00743DAD" w:rsidP="000A623E">
            <w:pPr>
              <w:rPr>
                <w:b/>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CB0BD7" w:rsidRDefault="00743DAD" w:rsidP="000A623E">
            <w:pPr>
              <w:rPr>
                <w:rFonts w:cs="Arial"/>
                <w:b/>
                <w:szCs w:val="24"/>
              </w:rPr>
            </w:pPr>
          </w:p>
        </w:tc>
        <w:tc>
          <w:tcPr>
            <w:tcW w:w="3263" w:type="pct"/>
            <w:gridSpan w:val="6"/>
          </w:tcPr>
          <w:p w:rsidR="00743DAD" w:rsidRPr="001F280F" w:rsidRDefault="00743DAD" w:rsidP="000A623E">
            <w:pPr>
              <w:rPr>
                <w:rFonts w:cs="Arial"/>
                <w:b/>
                <w:szCs w:val="24"/>
              </w:rPr>
            </w:pPr>
            <w:r>
              <w:rPr>
                <w:b/>
                <w:szCs w:val="24"/>
              </w:rPr>
              <w:t xml:space="preserve">Données démographiques </w:t>
            </w:r>
          </w:p>
        </w:tc>
        <w:tc>
          <w:tcPr>
            <w:tcW w:w="1352" w:type="pct"/>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rPr>
            </w:pPr>
            <w:r>
              <w:t>1.</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t>Durée d’une génération (généralement, âge moyen des parents dans la population; indiquez si une méthode d’estimation de la durée d’une génération autre que celle qui est présentée dans les lignes directrices de l’UICN [2011] est utilisée)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jc w:val="both"/>
              <w:rPr>
                <w:rFonts w:cs="Arial"/>
                <w:szCs w:val="24"/>
              </w:rPr>
            </w:pPr>
          </w:p>
          <w:p w:rsidR="00743DAD" w:rsidRPr="001F280F" w:rsidRDefault="00743DAD" w:rsidP="000A623E">
            <w:pPr>
              <w:ind w:left="360"/>
              <w:rPr>
                <w:rFonts w:cs="Arial"/>
                <w:szCs w:val="24"/>
              </w:rPr>
            </w:pPr>
            <w:r>
              <w:t>__ années</w:t>
            </w:r>
          </w:p>
        </w:tc>
      </w:tr>
      <w:tr w:rsidR="00743DAD" w:rsidRPr="001F280F" w:rsidTr="000A623E">
        <w:tblPrEx>
          <w:tblCellMar>
            <w:left w:w="115" w:type="dxa"/>
            <w:right w:w="115" w:type="dxa"/>
          </w:tblCellMar>
          <w:tblLook w:val="0620" w:firstRow="1" w:lastRow="0" w:firstColumn="0" w:lastColumn="0" w:noHBand="1" w:noVBand="1"/>
        </w:tblPrEx>
        <w:trPr>
          <w:cantSplit/>
          <w:trHeight w:val="768"/>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284" w:hanging="284"/>
              <w:rPr>
                <w:rFonts w:cs="Arial"/>
              </w:rPr>
            </w:pPr>
            <w:r>
              <w:t>2.</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Y </w:t>
            </w:r>
            <w:proofErr w:type="spellStart"/>
            <w:r>
              <w:t>a-t-il</w:t>
            </w:r>
            <w:proofErr w:type="spellEnd"/>
            <w:r>
              <w:t xml:space="preserve"> un déclin continu [observé, inféré ou prévu] du nombre total d’individus matures?</w:t>
            </w:r>
          </w:p>
          <w:p w:rsidR="00743DAD" w:rsidRPr="001F280F" w:rsidRDefault="00743DAD" w:rsidP="000A623E">
            <w:pPr>
              <w:ind w:left="284" w:hanging="284"/>
              <w:rPr>
                <w:rFonts w:cs="Arial"/>
                <w:szCs w:val="24"/>
              </w:rPr>
            </w:pPr>
          </w:p>
        </w:tc>
        <w:tc>
          <w:tcPr>
            <w:tcW w:w="1352" w:type="pct"/>
            <w:tcBorders>
              <w:top w:val="single" w:sz="6" w:space="0" w:color="auto"/>
              <w:left w:val="single" w:sz="4" w:space="0" w:color="auto"/>
              <w:bottom w:val="single" w:sz="6" w:space="0" w:color="auto"/>
              <w:right w:val="single" w:sz="6" w:space="0" w:color="auto"/>
            </w:tcBorders>
          </w:tcPr>
          <w:p w:rsidR="00743DAD" w:rsidRPr="001F280F" w:rsidRDefault="00743DAD" w:rsidP="000A623E">
            <w:pPr>
              <w:jc w:val="both"/>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4" w:space="0" w:color="auto"/>
            </w:tcBorders>
          </w:tcPr>
          <w:p w:rsidR="00743DAD" w:rsidRPr="004A4E7B" w:rsidRDefault="00743DAD" w:rsidP="000A623E">
            <w:pPr>
              <w:ind w:left="284" w:hanging="284"/>
              <w:rPr>
                <w:rFonts w:cs="Arial"/>
              </w:rPr>
            </w:pPr>
            <w:r>
              <w:t>3.</w:t>
            </w:r>
          </w:p>
        </w:tc>
        <w:tc>
          <w:tcPr>
            <w:tcW w:w="3263" w:type="pct"/>
            <w:gridSpan w:val="6"/>
            <w:tcBorders>
              <w:top w:val="single" w:sz="4" w:space="0" w:color="auto"/>
              <w:left w:val="single" w:sz="6" w:space="0" w:color="auto"/>
              <w:bottom w:val="single" w:sz="6" w:space="0" w:color="auto"/>
              <w:right w:val="single" w:sz="4" w:space="0" w:color="auto"/>
            </w:tcBorders>
          </w:tcPr>
          <w:p w:rsidR="00743DAD" w:rsidRPr="004A4E7B" w:rsidRDefault="00743DAD" w:rsidP="000A623E">
            <w:pPr>
              <w:rPr>
                <w:rFonts w:cs="Arial"/>
                <w:szCs w:val="24"/>
              </w:rPr>
            </w:pPr>
            <w:r>
              <w:t>Pourc</w:t>
            </w:r>
            <w:r w:rsidR="002148A4">
              <w:t>entage estimé de</w:t>
            </w:r>
            <w:r>
              <w:t xml:space="preserve"> déclin continu du nombre total d’individus matures sur [5 ans ou 2 générations, selon la période la plus longue, jusqu’à un maximum de 100 ans].</w:t>
            </w:r>
          </w:p>
          <w:p w:rsidR="00743DAD" w:rsidRPr="004A4E7B" w:rsidRDefault="00743DAD" w:rsidP="000A623E">
            <w:pPr>
              <w:ind w:left="284" w:hanging="284"/>
              <w:rPr>
                <w:rFonts w:cs="Arial"/>
                <w:sz w:val="20"/>
              </w:rPr>
            </w:pPr>
          </w:p>
        </w:tc>
        <w:tc>
          <w:tcPr>
            <w:tcW w:w="1352" w:type="pct"/>
            <w:tcBorders>
              <w:top w:val="single" w:sz="6" w:space="0" w:color="auto"/>
              <w:left w:val="single" w:sz="4"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4A4E7B" w:rsidRDefault="00743DAD" w:rsidP="000A623E">
            <w:pPr>
              <w:ind w:left="284" w:hanging="284"/>
              <w:rPr>
                <w:rFonts w:cs="Arial"/>
              </w:rPr>
            </w:pPr>
            <w:r>
              <w:t>4.</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4A4E7B" w:rsidRDefault="00743DAD" w:rsidP="000A623E">
            <w:pPr>
              <w:rPr>
                <w:rFonts w:cs="Arial"/>
                <w:szCs w:val="24"/>
              </w:rPr>
            </w:pPr>
            <w:r>
              <w:t>Pourcentage [observé, estimé, inféré ou présumé] [de réduction ou d’augmentation] du nombre total d’individus matures au cours des [10 dernières années ou 3 dernières générations, selon la période la plus longue, jusqu’à un maximum de 100 ans].</w:t>
            </w:r>
          </w:p>
          <w:p w:rsidR="00743DAD" w:rsidRPr="004A4E7B" w:rsidRDefault="00743DAD" w:rsidP="000A623E">
            <w:pPr>
              <w:rPr>
                <w:rFonts w:cs="Arial"/>
                <w:sz w:val="20"/>
              </w:rPr>
            </w:pPr>
          </w:p>
        </w:tc>
        <w:tc>
          <w:tcPr>
            <w:tcW w:w="1352" w:type="pct"/>
            <w:tcBorders>
              <w:top w:val="single" w:sz="6" w:space="0" w:color="auto"/>
              <w:left w:val="single" w:sz="6" w:space="0" w:color="auto"/>
              <w:bottom w:val="single" w:sz="4"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ind w:left="284" w:hanging="284"/>
              <w:rPr>
                <w:rFonts w:cs="Arial"/>
              </w:rPr>
            </w:pPr>
            <w:r>
              <w:t>5.</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r>
              <w:t xml:space="preserve">Pourcentage [prévu </w:t>
            </w:r>
            <w:r w:rsidRPr="004A4E7B">
              <w:rPr>
                <w:rFonts w:cs="Arial"/>
                <w:szCs w:val="24"/>
              </w:rPr>
              <w:fldChar w:fldCharType="begin" w:fldLock="1"/>
            </w:r>
            <w:r w:rsidRPr="004A4E7B">
              <w:rPr>
                <w:rFonts w:cs="Arial"/>
                <w:szCs w:val="24"/>
              </w:rPr>
              <w:instrText xml:space="preserve"> AUTOTEXTLIST  \* MERGEFORMAT </w:instrText>
            </w:r>
            <w:r w:rsidRPr="004A4E7B">
              <w:rPr>
                <w:rFonts w:cs="Arial"/>
                <w:szCs w:val="24"/>
              </w:rPr>
              <w:fldChar w:fldCharType="end"/>
            </w:r>
            <w:r>
              <w:t xml:space="preserve"> ou présumé] [de réduction ou d’augmentation] du nombre total d’individus matures au cours des [10 prochaines années ou 3 prochaines générations, selon la période la plus longue, jusqu’à un maximum de 100 ans]</w:t>
            </w:r>
            <w:r w:rsidRPr="004A4E7B">
              <w:rPr>
                <w:rFonts w:cs="Arial"/>
                <w:szCs w:val="24"/>
              </w:rPr>
              <w:fldChar w:fldCharType="begin" w:fldLock="1"/>
            </w:r>
            <w:r w:rsidRPr="004A4E7B">
              <w:rPr>
                <w:rFonts w:cs="Arial"/>
                <w:szCs w:val="24"/>
              </w:rPr>
              <w:instrText xml:space="preserve"> AUTOTEXTLIST  \* MERGEFORMAT </w:instrText>
            </w:r>
            <w:r w:rsidRPr="004A4E7B">
              <w:rPr>
                <w:rFonts w:cs="Arial"/>
                <w:szCs w:val="24"/>
              </w:rPr>
              <w:fldChar w:fldCharType="end"/>
            </w:r>
            <w:r>
              <w:t>.</w:t>
            </w:r>
          </w:p>
          <w:p w:rsidR="00743DAD" w:rsidRPr="004A4E7B" w:rsidRDefault="00743DAD" w:rsidP="000A623E">
            <w:pPr>
              <w:ind w:left="284" w:hanging="284"/>
              <w:rPr>
                <w:rFonts w:cs="Arial"/>
                <w:sz w:val="20"/>
              </w:rPr>
            </w:pPr>
          </w:p>
        </w:tc>
        <w:tc>
          <w:tcPr>
            <w:tcW w:w="1352"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4A4E7B" w:rsidRDefault="00743DAD" w:rsidP="000A623E">
            <w:pPr>
              <w:pStyle w:val="ListParagraph"/>
              <w:numPr>
                <w:ilvl w:val="0"/>
                <w:numId w:val="1"/>
              </w:numPr>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r>
              <w:t>Pourcentage [observé, estimé, inféré ou présumé] [de réduction ou d’augmentation] du nombre total d’individus matures au cours de toute période de [10 ans ou 3 générations, selon la période la plus longue, jusqu’à un maximum de 100 ans] commençant dans le passé et se terminant dans le futur.</w:t>
            </w:r>
          </w:p>
          <w:p w:rsidR="00743DAD" w:rsidRPr="004A4E7B"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4A4E7B" w:rsidRDefault="00743DAD" w:rsidP="000A623E">
            <w:pPr>
              <w:ind w:left="284" w:hanging="284"/>
              <w:rPr>
                <w:rFonts w:cs="Arial"/>
              </w:rPr>
            </w:pPr>
            <w:r>
              <w:t>7.</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4A4E7B" w:rsidRDefault="00743DAD" w:rsidP="000A623E">
            <w:pPr>
              <w:rPr>
                <w:rFonts w:cs="Arial"/>
                <w:szCs w:val="24"/>
              </w:rPr>
            </w:pPr>
            <w:r>
              <w:t xml:space="preserve">Est-ce </w:t>
            </w:r>
            <w:r w:rsidR="002148A4">
              <w:t>que les causes du déclin sont a)</w:t>
            </w:r>
            <w:r>
              <w:t xml:space="preserve"> clairement réversibles</w:t>
            </w:r>
            <w:r w:rsidR="002148A4">
              <w:t xml:space="preserve"> et b) comprises et c)</w:t>
            </w:r>
            <w:r>
              <w:t xml:space="preserve"> ont effectivement cessé?</w:t>
            </w:r>
          </w:p>
          <w:p w:rsidR="00743DAD" w:rsidRPr="004A4E7B"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p w:rsidR="00743DAD" w:rsidRPr="004A4E7B" w:rsidRDefault="00743DAD" w:rsidP="000A623E">
            <w:pPr>
              <w:ind w:left="360"/>
              <w:rPr>
                <w:rFonts w:cs="Arial"/>
                <w:szCs w:val="24"/>
              </w:rPr>
            </w:pPr>
            <w:r>
              <w:t>a</w:t>
            </w:r>
            <w:r w:rsidR="002148A4">
              <w:t>)</w:t>
            </w:r>
          </w:p>
          <w:p w:rsidR="00743DAD" w:rsidRPr="004A4E7B" w:rsidRDefault="002148A4" w:rsidP="000A623E">
            <w:pPr>
              <w:ind w:left="360"/>
              <w:rPr>
                <w:rFonts w:cs="Arial"/>
                <w:szCs w:val="24"/>
              </w:rPr>
            </w:pPr>
            <w:r>
              <w:t>b)</w:t>
            </w:r>
          </w:p>
          <w:p w:rsidR="00743DAD" w:rsidRPr="004A4E7B" w:rsidRDefault="002148A4" w:rsidP="000A623E">
            <w:pPr>
              <w:ind w:left="360"/>
              <w:rPr>
                <w:rFonts w:cs="Arial"/>
                <w:szCs w:val="24"/>
              </w:rPr>
            </w:pPr>
            <w:r>
              <w:t>c)</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284" w:hanging="284"/>
              <w:rPr>
                <w:rFonts w:cs="Arial"/>
              </w:rPr>
            </w:pPr>
            <w:r>
              <w:lastRenderedPageBreak/>
              <w:t>8.</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Y </w:t>
            </w:r>
            <w:proofErr w:type="spellStart"/>
            <w:r>
              <w:t>a-t-il</w:t>
            </w:r>
            <w:proofErr w:type="spellEnd"/>
            <w:r>
              <w:t xml:space="preserve"> des fluctuations extrêmes du nombre d’individus matures?</w:t>
            </w:r>
          </w:p>
          <w:p w:rsidR="00743DAD" w:rsidRPr="001F280F" w:rsidRDefault="00743DAD" w:rsidP="000A623E">
            <w:pPr>
              <w:ind w:left="284" w:hanging="284"/>
              <w:rPr>
                <w:rFonts w:cs="Arial"/>
                <w:sz w:val="20"/>
              </w:rPr>
            </w:pPr>
          </w:p>
        </w:tc>
        <w:tc>
          <w:tcPr>
            <w:tcW w:w="1352" w:type="pct"/>
            <w:tcBorders>
              <w:top w:val="single" w:sz="6" w:space="0" w:color="auto"/>
              <w:left w:val="single" w:sz="4" w:space="0" w:color="auto"/>
              <w:bottom w:val="single" w:sz="6" w:space="0" w:color="auto"/>
              <w:right w:val="single" w:sz="6" w:space="0" w:color="auto"/>
            </w:tcBorders>
          </w:tcPr>
          <w:p w:rsidR="00743DAD" w:rsidRPr="001F280F" w:rsidRDefault="00743DAD" w:rsidP="000A623E">
            <w:pPr>
              <w:rPr>
                <w:rFonts w:cs="Arial"/>
                <w:szCs w:val="24"/>
              </w:rPr>
            </w:pPr>
            <w:r w:rsidRPr="001F280F">
              <w:rPr>
                <w:rFonts w:cs="Arial"/>
                <w:szCs w:val="24"/>
              </w:rPr>
              <w:fldChar w:fldCharType="begin" w:fldLock="1"/>
            </w:r>
            <w:r w:rsidRPr="001F280F">
              <w:rPr>
                <w:rFonts w:cs="Arial"/>
                <w:szCs w:val="24"/>
              </w:rPr>
              <w:instrText xml:space="preserve"> AUTOTEXTLIST  \* MERGEFORMAT </w:instrText>
            </w:r>
            <w:r w:rsidRPr="001F280F">
              <w:rPr>
                <w:rFonts w:cs="Arial"/>
                <w:szCs w:val="24"/>
              </w:rPr>
              <w:fldChar w:fldCharType="end"/>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1F280F" w:rsidRDefault="00743DAD" w:rsidP="000A623E">
            <w:pPr>
              <w:ind w:left="360"/>
              <w:rPr>
                <w:rFonts w:cs="Arial"/>
                <w:szCs w:val="24"/>
              </w:rPr>
            </w:pPr>
          </w:p>
        </w:tc>
        <w:tc>
          <w:tcPr>
            <w:tcW w:w="3263" w:type="pct"/>
            <w:gridSpan w:val="6"/>
          </w:tcPr>
          <w:p w:rsidR="00743DAD" w:rsidRPr="001F280F" w:rsidRDefault="00743DAD" w:rsidP="000A623E">
            <w:pPr>
              <w:ind w:left="360"/>
              <w:rPr>
                <w:rFonts w:cs="Arial"/>
                <w:szCs w:val="24"/>
              </w:rPr>
            </w:pPr>
          </w:p>
          <w:p w:rsidR="00743DAD" w:rsidRPr="001F280F" w:rsidRDefault="00743DAD" w:rsidP="000A623E">
            <w:pPr>
              <w:rPr>
                <w:rFonts w:cs="Arial"/>
                <w:szCs w:val="24"/>
              </w:rPr>
            </w:pPr>
          </w:p>
        </w:tc>
        <w:tc>
          <w:tcPr>
            <w:tcW w:w="1352" w:type="pct"/>
          </w:tcPr>
          <w:p w:rsidR="00743DAD" w:rsidRPr="001F280F" w:rsidRDefault="00743DAD" w:rsidP="000A623E">
            <w:pPr>
              <w:ind w:left="360"/>
              <w:rPr>
                <w:rFonts w:cs="Arial"/>
                <w:sz w:val="20"/>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1F280F" w:rsidRDefault="00743DAD" w:rsidP="000A623E">
            <w:pPr>
              <w:rPr>
                <w:rFonts w:cs="Arial"/>
                <w:b/>
                <w:szCs w:val="24"/>
              </w:rPr>
            </w:pPr>
          </w:p>
        </w:tc>
        <w:tc>
          <w:tcPr>
            <w:tcW w:w="4615" w:type="pct"/>
            <w:gridSpan w:val="7"/>
          </w:tcPr>
          <w:p w:rsidR="00743DAD" w:rsidRPr="001F280F" w:rsidRDefault="00743DAD" w:rsidP="000A623E">
            <w:pPr>
              <w:rPr>
                <w:rFonts w:cs="Arial"/>
                <w:sz w:val="20"/>
              </w:rPr>
            </w:pPr>
            <w:r>
              <w:rPr>
                <w:b/>
                <w:szCs w:val="24"/>
              </w:rPr>
              <w:t>Information sur la répartition</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t>9.</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t>Superficie estimée de la zone d’occurrence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360"/>
              <w:rPr>
                <w:rFonts w:cs="Arial"/>
                <w:szCs w:val="24"/>
              </w:rPr>
            </w:pPr>
            <w:r>
              <w:t>km²</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t>10.</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2148A4" w:rsidP="000A623E">
            <w:pPr>
              <w:rPr>
                <w:rFonts w:cs="Arial"/>
                <w:szCs w:val="24"/>
              </w:rPr>
            </w:pPr>
            <w:r>
              <w:t xml:space="preserve">Indice de </w:t>
            </w:r>
            <w:r w:rsidR="00743DAD">
              <w:t>zone d’occupation (IZO)</w:t>
            </w:r>
          </w:p>
          <w:p w:rsidR="00743DAD" w:rsidRPr="001F280F" w:rsidRDefault="00743DAD" w:rsidP="002148A4">
            <w:pPr>
              <w:ind w:left="18" w:hanging="18"/>
              <w:rPr>
                <w:rFonts w:cs="Arial"/>
                <w:szCs w:val="24"/>
              </w:rPr>
            </w:pPr>
            <w:r>
              <w:t>(</w:t>
            </w:r>
            <w:r w:rsidR="002148A4" w:rsidRPr="002148A4">
              <w:t>Fournissez toujours une valeur établie à p</w:t>
            </w:r>
            <w:r w:rsidR="002148A4">
              <w:t>artir d’une grille à carrés de 2 </w:t>
            </w:r>
            <w:r w:rsidR="002148A4" w:rsidRPr="002148A4">
              <w:t>km de côté</w:t>
            </w:r>
            <w:r>
              <w:t>)</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360"/>
              <w:rPr>
                <w:rFonts w:cs="Arial"/>
                <w:szCs w:val="24"/>
              </w:rPr>
            </w:pPr>
            <w:r>
              <w:t>km²</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t>11.</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t>La population totale est-elle « gravement fragmentée », c.-à-d. que plus de 50 % de sa zone d’occupation totale se trouvent dans des parcelles d’habitat qui sont a) plus petites que la superficie nécessaire au maintien d’une population viable et b) séparées d’autres parcelles d’habitat par une distance supérieure à la distance de dispersion maximale présumée pour l’espèce?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DA30DD" w:rsidP="000A623E">
            <w:pPr>
              <w:rPr>
                <w:rFonts w:cs="Arial"/>
                <w:szCs w:val="24"/>
              </w:rPr>
            </w:pPr>
            <w:r>
              <w:t xml:space="preserve">     a)</w:t>
            </w:r>
          </w:p>
          <w:p w:rsidR="00743DAD" w:rsidRPr="001F280F" w:rsidRDefault="00743DAD" w:rsidP="000A623E">
            <w:pPr>
              <w:rPr>
                <w:rFonts w:cs="Arial"/>
                <w:szCs w:val="24"/>
              </w:rPr>
            </w:pPr>
          </w:p>
          <w:p w:rsidR="00743DAD" w:rsidRPr="001F280F" w:rsidRDefault="00DA30DD" w:rsidP="000A623E">
            <w:pPr>
              <w:ind w:left="360"/>
              <w:rPr>
                <w:rFonts w:cs="Arial"/>
                <w:szCs w:val="24"/>
              </w:rPr>
            </w:pPr>
            <w:r>
              <w:t>b)</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t>12.</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DA30DD" w:rsidP="000A623E">
            <w:pPr>
              <w:rPr>
                <w:rFonts w:cs="Arial"/>
                <w:szCs w:val="24"/>
              </w:rPr>
            </w:pPr>
            <w:r>
              <w:t>Nombre de « localités »</w:t>
            </w:r>
            <w:r w:rsidR="00743DAD" w:rsidRPr="00DA30DD">
              <w:rPr>
                <w:rStyle w:val="FootnoteReference"/>
                <w:sz w:val="24"/>
                <w:szCs w:val="24"/>
              </w:rPr>
              <w:footnoteReference w:customMarkFollows="1" w:id="1"/>
              <w:sym w:font="Symbol" w:char="F02A"/>
            </w:r>
            <w:r w:rsidR="00743DAD">
              <w:t xml:space="preserve"> (utilisez une fourchette plausible pour refléter l’incertitude, le cas échéant).</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t>13.</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un déclin [observé, inféré ou prévu] de la zone d’occurrence?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t>14.</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un déclin [observé, inféré ou prévu] de l’indice de zone d’occupation?</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Height w:val="689"/>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t>15.</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un déclin [observé, inféré ou prévu] du nombre de sous-populations?</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Height w:val="709"/>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szCs w:val="24"/>
              </w:rPr>
            </w:pPr>
            <w:r>
              <w:t>16.</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un déclin [observé, inféré ou prévu] du nombre de « localités »*?</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szCs w:val="24"/>
              </w:rPr>
            </w:pPr>
            <w:r>
              <w:t>17.</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un déclin [observé, inféré ou prévu] de [la superficie, l’étendue ou la qualité] de l’habitat?</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4" w:space="0" w:color="auto"/>
              <w:right w:val="single" w:sz="6" w:space="0" w:color="auto"/>
            </w:tcBorders>
          </w:tcPr>
          <w:p w:rsidR="00743DAD" w:rsidRPr="001F280F" w:rsidRDefault="00743DAD" w:rsidP="000A623E">
            <w:pPr>
              <w:ind w:left="284" w:hanging="284"/>
              <w:rPr>
                <w:rFonts w:cs="Arial"/>
                <w:szCs w:val="24"/>
              </w:rPr>
            </w:pPr>
            <w:r>
              <w:t>18.</w:t>
            </w:r>
          </w:p>
        </w:tc>
        <w:tc>
          <w:tcPr>
            <w:tcW w:w="3263" w:type="pct"/>
            <w:gridSpan w:val="6"/>
            <w:tcBorders>
              <w:top w:val="single" w:sz="4"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des fluctuat</w:t>
            </w:r>
            <w:r w:rsidR="00397D96">
              <w:t>ions extrêmes du nombre de sous-</w:t>
            </w:r>
            <w:r>
              <w:t>populations?</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Height w:val="494"/>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ind w:left="284" w:hanging="284"/>
              <w:rPr>
                <w:rFonts w:cs="Arial"/>
                <w:szCs w:val="24"/>
              </w:rPr>
            </w:pPr>
            <w:r>
              <w:lastRenderedPageBreak/>
              <w:t>19.</w:t>
            </w: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des fluctuations extrêmes du nombre de « localités »</w:t>
            </w:r>
            <w:r w:rsidRPr="00DA30DD">
              <w:rPr>
                <w:vertAlign w:val="superscript"/>
              </w:rPr>
              <w:footnoteReference w:customMarkFollows="1" w:id="2"/>
              <w:sym w:font="Symbol" w:char="F02A"/>
            </w:r>
            <w:r>
              <w:t>?</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pStyle w:val="ListParagraph"/>
              <w:numPr>
                <w:ilvl w:val="0"/>
                <w:numId w:val="2"/>
              </w:numPr>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r>
              <w:t xml:space="preserve">Y </w:t>
            </w:r>
            <w:proofErr w:type="spellStart"/>
            <w:r>
              <w:t>a-t-il</w:t>
            </w:r>
            <w:proofErr w:type="spellEnd"/>
            <w:r>
              <w:t xml:space="preserve"> des fluctuations extrêmes de la zone d’occurrence?</w:t>
            </w:r>
          </w:p>
          <w:p w:rsidR="00743DAD" w:rsidRPr="001F280F" w:rsidRDefault="00743DAD" w:rsidP="000A623E">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r>
              <w:t>21.</w:t>
            </w: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DA30DD">
            <w:pPr>
              <w:rPr>
                <w:rFonts w:cs="Arial"/>
                <w:szCs w:val="24"/>
              </w:rPr>
            </w:pPr>
            <w:r>
              <w:t xml:space="preserve">Y </w:t>
            </w:r>
            <w:proofErr w:type="spellStart"/>
            <w:r>
              <w:t>a-t-il</w:t>
            </w:r>
            <w:proofErr w:type="spellEnd"/>
            <w:r>
              <w:t xml:space="preserve"> des fluctuat</w:t>
            </w:r>
            <w:r w:rsidR="00DA30DD">
              <w:t xml:space="preserve">ions extrêmes de l’indice de </w:t>
            </w:r>
            <w:r>
              <w:t>zone d’occupation?</w:t>
            </w: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Pr>
          <w:p w:rsidR="00743DAD" w:rsidRPr="001F280F" w:rsidRDefault="00743DAD" w:rsidP="000A623E">
            <w:pPr>
              <w:keepNext/>
              <w:keepLines/>
              <w:rPr>
                <w:rFonts w:cs="Arial"/>
                <w:szCs w:val="24"/>
              </w:rPr>
            </w:pPr>
          </w:p>
        </w:tc>
        <w:tc>
          <w:tcPr>
            <w:tcW w:w="4615" w:type="pct"/>
            <w:gridSpan w:val="7"/>
          </w:tcPr>
          <w:p w:rsidR="00743DAD" w:rsidRPr="001F280F" w:rsidRDefault="00743DAD" w:rsidP="000A623E">
            <w:pPr>
              <w:keepNext/>
              <w:keepLines/>
              <w:rPr>
                <w:rFonts w:cs="Arial"/>
                <w:szCs w:val="24"/>
              </w:rPr>
            </w:pPr>
          </w:p>
          <w:p w:rsidR="00743DAD" w:rsidRPr="001F280F" w:rsidRDefault="00743DAD" w:rsidP="000A623E">
            <w:pPr>
              <w:keepNext/>
              <w:keepLines/>
              <w:rPr>
                <w:rFonts w:cs="Arial"/>
                <w:szCs w:val="24"/>
              </w:rPr>
            </w:pPr>
          </w:p>
          <w:p w:rsidR="00743DAD" w:rsidRPr="001F280F" w:rsidRDefault="00743DAD" w:rsidP="000A623E">
            <w:pPr>
              <w:keepNext/>
              <w:keepLines/>
              <w:rPr>
                <w:rFonts w:cs="Arial"/>
                <w:b/>
                <w:szCs w:val="24"/>
              </w:rPr>
            </w:pPr>
            <w:r>
              <w:rPr>
                <w:b/>
                <w:szCs w:val="24"/>
              </w:rPr>
              <w:t xml:space="preserve">Nombre d’individus matures (dans chaque sous-population) </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r>
              <w:t>22.</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r>
              <w:t>Sous-population (indiquez des fourchettes plausibles)</w:t>
            </w:r>
          </w:p>
        </w:tc>
        <w:tc>
          <w:tcPr>
            <w:tcW w:w="1352" w:type="pct"/>
            <w:tcBorders>
              <w:top w:val="single" w:sz="4" w:space="0" w:color="auto"/>
              <w:left w:val="single" w:sz="6" w:space="0" w:color="auto"/>
              <w:bottom w:val="single" w:sz="6" w:space="0" w:color="auto"/>
              <w:right w:val="single" w:sz="6" w:space="0" w:color="auto"/>
            </w:tcBorders>
          </w:tcPr>
          <w:p w:rsidR="00743DAD" w:rsidRPr="001F280F" w:rsidRDefault="00743DAD" w:rsidP="00DA30DD">
            <w:pPr>
              <w:keepNext/>
              <w:keepLines/>
              <w:rPr>
                <w:rFonts w:cs="Arial"/>
                <w:szCs w:val="24"/>
              </w:rPr>
            </w:pPr>
            <w:r>
              <w:t>N</w:t>
            </w:r>
            <w:r w:rsidR="00DA30DD">
              <w:t>ombre</w:t>
            </w:r>
            <w:r>
              <w:t xml:space="preserve"> d’individus matures</w:t>
            </w: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743DAD" w:rsidRPr="001F280F" w:rsidRDefault="00743DAD" w:rsidP="000A623E">
            <w:pPr>
              <w:keepNext/>
              <w:keepLines/>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keepNext/>
              <w:keepLines/>
              <w:rPr>
                <w:rFonts w:cs="Arial"/>
                <w:szCs w:val="24"/>
              </w:rPr>
            </w:pPr>
          </w:p>
        </w:tc>
        <w:tc>
          <w:tcPr>
            <w:tcW w:w="3263" w:type="pct"/>
            <w:gridSpan w:val="6"/>
            <w:tcBorders>
              <w:top w:val="single" w:sz="6" w:space="0" w:color="auto"/>
              <w:left w:val="single" w:sz="6" w:space="0" w:color="auto"/>
              <w:bottom w:val="single" w:sz="4" w:space="0" w:color="auto"/>
              <w:right w:val="single" w:sz="6" w:space="0" w:color="auto"/>
            </w:tcBorders>
          </w:tcPr>
          <w:p w:rsidR="00743DAD" w:rsidRPr="001F280F" w:rsidRDefault="00743DAD" w:rsidP="000A623E">
            <w:pPr>
              <w:keepNext/>
              <w:keepLines/>
              <w:rPr>
                <w:rFonts w:cs="Arial"/>
                <w:szCs w:val="24"/>
              </w:rPr>
            </w:pPr>
            <w:r>
              <w:t>Total</w:t>
            </w:r>
          </w:p>
        </w:tc>
        <w:tc>
          <w:tcPr>
            <w:tcW w:w="1352" w:type="pct"/>
            <w:tcBorders>
              <w:top w:val="single" w:sz="6" w:space="0" w:color="auto"/>
              <w:left w:val="single" w:sz="6" w:space="0" w:color="auto"/>
              <w:bottom w:val="single" w:sz="4" w:space="0" w:color="auto"/>
              <w:right w:val="single" w:sz="6" w:space="0" w:color="auto"/>
            </w:tcBorders>
          </w:tcPr>
          <w:p w:rsidR="00743DAD" w:rsidRPr="001F280F" w:rsidRDefault="00743DAD" w:rsidP="000A623E">
            <w:pPr>
              <w:keepNext/>
              <w:keepLines/>
              <w:rPr>
                <w:rFonts w:cs="Arial"/>
                <w:szCs w:val="24"/>
              </w:rPr>
            </w:pPr>
          </w:p>
        </w:tc>
      </w:tr>
      <w:tr w:rsidR="00743DAD" w:rsidRPr="001F280F"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bottom w:val="single" w:sz="4" w:space="0" w:color="auto"/>
            </w:tcBorders>
          </w:tcPr>
          <w:p w:rsidR="00743DAD" w:rsidRPr="001F280F" w:rsidRDefault="00743DAD" w:rsidP="000A623E">
            <w:pPr>
              <w:ind w:left="360"/>
              <w:rPr>
                <w:rFonts w:cs="Arial"/>
                <w:b/>
                <w:szCs w:val="24"/>
              </w:rPr>
            </w:pPr>
          </w:p>
        </w:tc>
        <w:tc>
          <w:tcPr>
            <w:tcW w:w="4615" w:type="pct"/>
            <w:gridSpan w:val="7"/>
            <w:tcBorders>
              <w:top w:val="single" w:sz="4" w:space="0" w:color="auto"/>
              <w:bottom w:val="single" w:sz="4" w:space="0" w:color="auto"/>
            </w:tcBorders>
          </w:tcPr>
          <w:p w:rsidR="00743DAD" w:rsidRPr="001F280F" w:rsidRDefault="00743DAD" w:rsidP="000A623E">
            <w:pPr>
              <w:ind w:left="360"/>
              <w:rPr>
                <w:rFonts w:cs="Arial"/>
                <w:b/>
                <w:szCs w:val="24"/>
              </w:rPr>
            </w:pPr>
          </w:p>
          <w:p w:rsidR="00743DAD" w:rsidRPr="001F280F" w:rsidRDefault="00743DAD" w:rsidP="000A623E">
            <w:pPr>
              <w:rPr>
                <w:rFonts w:cs="Arial"/>
                <w:szCs w:val="24"/>
              </w:rPr>
            </w:pPr>
          </w:p>
          <w:p w:rsidR="00743DAD" w:rsidRPr="001F280F" w:rsidRDefault="00743DAD" w:rsidP="000A623E">
            <w:pPr>
              <w:rPr>
                <w:rFonts w:cs="Arial"/>
                <w:b/>
                <w:szCs w:val="24"/>
              </w:rPr>
            </w:pPr>
            <w:r>
              <w:rPr>
                <w:b/>
                <w:szCs w:val="24"/>
              </w:rPr>
              <w:t>Analyse quantitative</w:t>
            </w:r>
          </w:p>
        </w:tc>
      </w:tr>
      <w:tr w:rsidR="00743DAD" w:rsidRPr="004A4E7B" w:rsidTr="000A623E">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ind w:left="284" w:hanging="284"/>
              <w:rPr>
                <w:rFonts w:cs="Arial"/>
                <w:szCs w:val="24"/>
              </w:rPr>
            </w:pPr>
            <w:r>
              <w:t>23.</w:t>
            </w:r>
          </w:p>
        </w:tc>
        <w:tc>
          <w:tcPr>
            <w:tcW w:w="3263" w:type="pct"/>
            <w:gridSpan w:val="6"/>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r>
              <w:t>La probabilité de disparition de l’espèce à l’</w:t>
            </w:r>
            <w:r w:rsidR="00DA30DD">
              <w:t>état sauvage est d’au moins [20 </w:t>
            </w:r>
            <w:r>
              <w:t>% sur 20</w:t>
            </w:r>
            <w:r w:rsidR="00DA30DD">
              <w:t> </w:t>
            </w:r>
            <w:r>
              <w:t>ans ou 5 générations, selon la plus longue période, jusqu’à un maximum de 100 ans, ou 10 % sur 100 ans].</w:t>
            </w:r>
          </w:p>
          <w:p w:rsidR="00743DAD" w:rsidRPr="004A4E7B" w:rsidRDefault="00743DAD" w:rsidP="000A623E">
            <w:pPr>
              <w:rPr>
                <w:rFonts w:cs="Arial"/>
                <w:szCs w:val="24"/>
              </w:rPr>
            </w:pPr>
          </w:p>
        </w:tc>
        <w:tc>
          <w:tcPr>
            <w:tcW w:w="1352" w:type="pct"/>
            <w:tcBorders>
              <w:top w:val="single" w:sz="4" w:space="0" w:color="auto"/>
              <w:left w:val="single" w:sz="6" w:space="0" w:color="auto"/>
              <w:bottom w:val="single" w:sz="6" w:space="0" w:color="auto"/>
              <w:right w:val="single" w:sz="6" w:space="0" w:color="auto"/>
            </w:tcBorders>
          </w:tcPr>
          <w:p w:rsidR="00743DAD" w:rsidRPr="004A4E7B"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ind w:left="360"/>
              <w:rPr>
                <w:rFonts w:cs="Arial"/>
                <w:szCs w:val="24"/>
              </w:rPr>
            </w:pPr>
          </w:p>
        </w:tc>
        <w:tc>
          <w:tcPr>
            <w:tcW w:w="3263" w:type="pct"/>
            <w:gridSpan w:val="6"/>
          </w:tcPr>
          <w:p w:rsidR="00743DAD" w:rsidRPr="001F280F" w:rsidRDefault="00743DAD" w:rsidP="000A623E">
            <w:pPr>
              <w:ind w:left="360"/>
              <w:rPr>
                <w:rFonts w:cs="Arial"/>
                <w:szCs w:val="24"/>
              </w:rPr>
            </w:pPr>
          </w:p>
          <w:p w:rsidR="00743DAD" w:rsidRPr="001F280F" w:rsidRDefault="00743DAD" w:rsidP="000A623E">
            <w:pPr>
              <w:rPr>
                <w:rFonts w:cs="Arial"/>
                <w:szCs w:val="24"/>
              </w:rPr>
            </w:pPr>
          </w:p>
        </w:tc>
        <w:tc>
          <w:tcPr>
            <w:tcW w:w="1352" w:type="pct"/>
          </w:tcPr>
          <w:p w:rsidR="00743DAD" w:rsidRPr="001F280F" w:rsidRDefault="00743DAD" w:rsidP="000A623E">
            <w:pPr>
              <w:ind w:left="360"/>
              <w:rPr>
                <w:rFonts w:cs="Arial"/>
                <w:szCs w:val="24"/>
              </w:rPr>
            </w:pP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ind w:left="7"/>
              <w:rPr>
                <w:rFonts w:cs="Arial"/>
                <w:b/>
                <w:szCs w:val="24"/>
              </w:rPr>
            </w:pPr>
          </w:p>
        </w:tc>
        <w:tc>
          <w:tcPr>
            <w:tcW w:w="4615" w:type="pct"/>
            <w:gridSpan w:val="7"/>
          </w:tcPr>
          <w:p w:rsidR="00743DAD" w:rsidRPr="001F280F" w:rsidRDefault="00743DAD" w:rsidP="000A623E">
            <w:pPr>
              <w:ind w:left="7"/>
              <w:rPr>
                <w:rFonts w:cs="Arial"/>
                <w:szCs w:val="24"/>
              </w:rPr>
            </w:pPr>
            <w:r>
              <w:rPr>
                <w:b/>
                <w:szCs w:val="24"/>
              </w:rPr>
              <w:t>Menaces (directes, de l’impact le plus élevé à l’impact le</w:t>
            </w:r>
            <w:r w:rsidR="00DA30DD">
              <w:rPr>
                <w:b/>
                <w:szCs w:val="24"/>
              </w:rPr>
              <w:t xml:space="preserve"> plus faible, </w:t>
            </w:r>
            <w:r>
              <w:rPr>
                <w:b/>
                <w:szCs w:val="24"/>
              </w:rPr>
              <w:t>selon le calculateur des menaces de l’UICN)</w:t>
            </w: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rPr>
                <w:rFonts w:cs="Arial"/>
                <w:szCs w:val="24"/>
              </w:rPr>
            </w:pPr>
            <w:r>
              <w:t>24.</w:t>
            </w:r>
          </w:p>
        </w:tc>
        <w:tc>
          <w:tcPr>
            <w:tcW w:w="4615" w:type="pct"/>
            <w:gridSpan w:val="7"/>
          </w:tcPr>
          <w:tbl>
            <w:tblPr>
              <w:tblStyle w:val="TableGrid"/>
              <w:tblW w:w="8106" w:type="dxa"/>
              <w:tblLayout w:type="fixed"/>
              <w:tblLook w:val="04A0" w:firstRow="1" w:lastRow="0" w:firstColumn="1" w:lastColumn="0" w:noHBand="0" w:noVBand="1"/>
            </w:tblPr>
            <w:tblGrid>
              <w:gridCol w:w="8106"/>
            </w:tblGrid>
            <w:tr w:rsidR="00743DAD" w:rsidRPr="001F280F" w:rsidTr="000A623E">
              <w:tc>
                <w:tcPr>
                  <w:tcW w:w="8106" w:type="dxa"/>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Un calculateur des menaces </w:t>
                  </w:r>
                  <w:proofErr w:type="spellStart"/>
                  <w:r>
                    <w:t>a-t-il</w:t>
                  </w:r>
                  <w:proofErr w:type="spellEnd"/>
                  <w:r>
                    <w:t xml:space="preserve"> été rempli pour l’espèce?</w:t>
                  </w:r>
                </w:p>
                <w:p w:rsidR="00743DAD" w:rsidRPr="001F280F" w:rsidRDefault="00743DAD" w:rsidP="000A623E">
                  <w:pPr>
                    <w:rPr>
                      <w:rFonts w:cs="Arial"/>
                      <w:szCs w:val="24"/>
                    </w:rPr>
                  </w:pPr>
                  <w:r>
                    <w:t xml:space="preserve"> </w:t>
                  </w:r>
                </w:p>
                <w:p w:rsidR="00743DAD" w:rsidRPr="001F280F" w:rsidRDefault="00743DAD" w:rsidP="00743DAD">
                  <w:pPr>
                    <w:pStyle w:val="ListParagraph"/>
                    <w:numPr>
                      <w:ilvl w:val="0"/>
                      <w:numId w:val="3"/>
                    </w:numPr>
                    <w:rPr>
                      <w:rFonts w:cs="Arial"/>
                      <w:szCs w:val="24"/>
                    </w:rPr>
                  </w:pPr>
                </w:p>
                <w:p w:rsidR="00743DAD" w:rsidRPr="001F280F" w:rsidRDefault="00743DAD" w:rsidP="00743DAD">
                  <w:pPr>
                    <w:pStyle w:val="ListParagraph"/>
                    <w:numPr>
                      <w:ilvl w:val="0"/>
                      <w:numId w:val="3"/>
                    </w:numPr>
                    <w:rPr>
                      <w:rFonts w:cs="Arial"/>
                      <w:szCs w:val="24"/>
                    </w:rPr>
                  </w:pPr>
                </w:p>
                <w:p w:rsidR="00743DAD" w:rsidRPr="001F280F" w:rsidRDefault="00743DAD" w:rsidP="000A623E">
                  <w:pPr>
                    <w:rPr>
                      <w:rFonts w:cs="Arial"/>
                      <w:szCs w:val="24"/>
                    </w:rPr>
                  </w:pPr>
                </w:p>
                <w:p w:rsidR="00743DAD" w:rsidRPr="001F280F" w:rsidRDefault="00743DAD" w:rsidP="000A623E">
                  <w:pPr>
                    <w:rPr>
                      <w:rFonts w:cs="Arial"/>
                      <w:szCs w:val="24"/>
                    </w:rPr>
                  </w:pPr>
                  <w:r>
                    <w:t xml:space="preserve">Quels </w:t>
                  </w:r>
                  <w:r w:rsidR="00DA30DD">
                    <w:t xml:space="preserve">autres </w:t>
                  </w:r>
                  <w:r>
                    <w:t>facteurs limitatifs sont pertinents?</w:t>
                  </w:r>
                </w:p>
                <w:p w:rsidR="00743DAD" w:rsidRPr="001F280F" w:rsidRDefault="00743DAD" w:rsidP="000A623E">
                  <w:pPr>
                    <w:rPr>
                      <w:rFonts w:cs="Arial"/>
                      <w:szCs w:val="24"/>
                    </w:rPr>
                  </w:pPr>
                </w:p>
              </w:tc>
            </w:tr>
          </w:tbl>
          <w:p w:rsidR="00743DAD" w:rsidRPr="001F280F" w:rsidRDefault="00743DAD" w:rsidP="000A623E">
            <w:pPr>
              <w:rPr>
                <w:rFonts w:cs="Arial"/>
                <w:b/>
                <w:szCs w:val="24"/>
              </w:rPr>
            </w:pPr>
          </w:p>
          <w:p w:rsidR="00743DAD" w:rsidRPr="001F280F" w:rsidRDefault="00743DAD" w:rsidP="000A623E">
            <w:pPr>
              <w:rPr>
                <w:rFonts w:cs="Arial"/>
                <w:b/>
                <w:szCs w:val="24"/>
              </w:rPr>
            </w:pPr>
          </w:p>
          <w:p w:rsidR="00743DAD" w:rsidRPr="001F280F" w:rsidRDefault="00743DAD" w:rsidP="000A623E">
            <w:pPr>
              <w:ind w:left="7"/>
              <w:rPr>
                <w:rFonts w:cs="Arial"/>
                <w:b/>
                <w:szCs w:val="24"/>
              </w:rPr>
            </w:pPr>
            <w:r>
              <w:rPr>
                <w:b/>
                <w:szCs w:val="24"/>
              </w:rPr>
              <w:t>Immigration de source externe (immigration de l’extérieur du Canada)</w:t>
            </w: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25.</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Situation des populations de l’extérieur les plus susceptibles de fournir des individus immigrants au Canada.</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lastRenderedPageBreak/>
              <w:t>26.</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Une immigration a-t-elle été constatée ou est-elle possible?</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27.</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E004ED" w:rsidP="000A623E">
            <w:pPr>
              <w:rPr>
                <w:rFonts w:cs="Arial"/>
                <w:szCs w:val="24"/>
              </w:rPr>
            </w:pPr>
            <w:r>
              <w:t>D</w:t>
            </w:r>
            <w:r w:rsidR="00743DAD">
              <w:t>es individus immigrants seraient-ils adaptés pour survivre au Canada?</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28.</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Y </w:t>
            </w:r>
            <w:proofErr w:type="spellStart"/>
            <w:r>
              <w:t>a-t-il</w:t>
            </w:r>
            <w:proofErr w:type="spellEnd"/>
            <w:r>
              <w:t xml:space="preserve"> suffisamment d’habitat disponible au Canada pour les individus immigrants?</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29.</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Les conditions se détériorent-elles au Canada</w:t>
            </w:r>
            <w:r w:rsidR="00E004ED">
              <w:rPr>
                <w:rStyle w:val="FootnoteReference"/>
              </w:rPr>
              <w:footnoteReference w:customMarkFollows="1" w:id="3"/>
              <w:sym w:font="Symbol" w:char="F02B"/>
            </w:r>
            <w:r>
              <w:t>?</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30.</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Les conditions de la population source se détériorent-elles</w:t>
            </w:r>
            <w:r w:rsidR="00E004ED" w:rsidRPr="001F280F">
              <w:rPr>
                <w:rStyle w:val="FootnoteReference"/>
              </w:rPr>
              <w:footnoteReference w:customMarkFollows="1" w:id="4"/>
              <w:sym w:font="Symbol" w:char="F02B"/>
            </w:r>
            <w:r>
              <w:t>?</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31.</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La population canadienne est-elle considérée comme un puits</w:t>
            </w:r>
            <w:r w:rsidR="00E004ED" w:rsidRPr="001F280F">
              <w:rPr>
                <w:rStyle w:val="FootnoteReference"/>
              </w:rPr>
              <w:footnoteReference w:customMarkFollows="1" w:id="5"/>
              <w:sym w:font="Symbol" w:char="F02B"/>
            </w:r>
            <w:r>
              <w:t>?</w:t>
            </w:r>
          </w:p>
          <w:p w:rsidR="00743DAD" w:rsidRPr="001F280F" w:rsidRDefault="00743DAD" w:rsidP="000A623E">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32.</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La possibilité d’une immigration </w:t>
            </w:r>
            <w:r w:rsidR="00E004ED">
              <w:t>depuis des</w:t>
            </w:r>
            <w:r>
              <w:t xml:space="preserve"> populations externes existe-t-elle?</w:t>
            </w:r>
          </w:p>
          <w:p w:rsidR="00743DAD" w:rsidRPr="001F280F" w:rsidRDefault="00743DAD" w:rsidP="000A623E">
            <w:pPr>
              <w:ind w:left="433" w:hanging="433"/>
              <w:jc w:val="both"/>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gridAfter w:val="4"/>
          <w:wAfter w:w="2096" w:type="pct"/>
          <w:cantSplit/>
        </w:trPr>
        <w:tc>
          <w:tcPr>
            <w:tcW w:w="385" w:type="pct"/>
            <w:tcBorders>
              <w:top w:val="single" w:sz="4" w:space="0" w:color="auto"/>
              <w:bottom w:val="single" w:sz="4" w:space="0" w:color="auto"/>
            </w:tcBorders>
          </w:tcPr>
          <w:p w:rsidR="00743DAD" w:rsidRPr="001F280F" w:rsidRDefault="00743DAD" w:rsidP="000A623E">
            <w:pPr>
              <w:ind w:left="433" w:hanging="433"/>
              <w:rPr>
                <w:rFonts w:cs="Arial"/>
                <w:b/>
                <w:szCs w:val="24"/>
              </w:rPr>
            </w:pPr>
          </w:p>
        </w:tc>
        <w:tc>
          <w:tcPr>
            <w:tcW w:w="2519" w:type="pct"/>
            <w:gridSpan w:val="3"/>
            <w:tcBorders>
              <w:top w:val="single" w:sz="4" w:space="0" w:color="auto"/>
              <w:bottom w:val="single" w:sz="4" w:space="0" w:color="auto"/>
            </w:tcBorders>
          </w:tcPr>
          <w:p w:rsidR="00743DAD" w:rsidRPr="001F280F" w:rsidRDefault="00743DAD" w:rsidP="000A623E">
            <w:pPr>
              <w:ind w:left="433" w:hanging="433"/>
              <w:rPr>
                <w:rFonts w:cs="Arial"/>
                <w:b/>
                <w:szCs w:val="24"/>
              </w:rPr>
            </w:pPr>
          </w:p>
          <w:p w:rsidR="00743DAD" w:rsidRDefault="00743DAD" w:rsidP="000A623E">
            <w:pPr>
              <w:ind w:left="433" w:hanging="433"/>
              <w:rPr>
                <w:rFonts w:cs="Arial"/>
                <w:b/>
                <w:szCs w:val="24"/>
              </w:rPr>
            </w:pPr>
          </w:p>
          <w:p w:rsidR="00743DAD" w:rsidRPr="001F280F" w:rsidRDefault="00743DAD" w:rsidP="000A623E">
            <w:pPr>
              <w:ind w:left="433" w:hanging="433"/>
              <w:rPr>
                <w:rFonts w:cs="Arial"/>
                <w:b/>
                <w:szCs w:val="24"/>
              </w:rPr>
            </w:pPr>
          </w:p>
          <w:p w:rsidR="00743DAD" w:rsidRPr="001F280F" w:rsidRDefault="00E004ED" w:rsidP="000A623E">
            <w:pPr>
              <w:ind w:left="7" w:hanging="7"/>
              <w:rPr>
                <w:rFonts w:cs="Arial"/>
                <w:b/>
                <w:szCs w:val="24"/>
              </w:rPr>
            </w:pPr>
            <w:r>
              <w:rPr>
                <w:b/>
                <w:szCs w:val="24"/>
              </w:rPr>
              <w:t>Nature délicate de l’information sur l’espèce</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33.</w:t>
            </w:r>
          </w:p>
        </w:tc>
        <w:tc>
          <w:tcPr>
            <w:tcW w:w="3263" w:type="pct"/>
            <w:gridSpan w:val="6"/>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L’information concernant l’espèce est-elle de nature délicate?  </w:t>
            </w:r>
          </w:p>
        </w:tc>
        <w:tc>
          <w:tcPr>
            <w:tcW w:w="1352"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Height w:val="620"/>
        </w:trPr>
        <w:tc>
          <w:tcPr>
            <w:tcW w:w="385" w:type="pct"/>
            <w:tcBorders>
              <w:bottom w:val="single" w:sz="4" w:space="0" w:color="auto"/>
            </w:tcBorders>
          </w:tcPr>
          <w:p w:rsidR="00743DAD" w:rsidRPr="001F280F" w:rsidRDefault="00743DAD" w:rsidP="000A623E">
            <w:pPr>
              <w:rPr>
                <w:rFonts w:cs="Arial"/>
                <w:b/>
                <w:szCs w:val="24"/>
              </w:rPr>
            </w:pPr>
          </w:p>
        </w:tc>
        <w:tc>
          <w:tcPr>
            <w:tcW w:w="4615" w:type="pct"/>
            <w:gridSpan w:val="7"/>
            <w:tcBorders>
              <w:bottom w:val="single" w:sz="4" w:space="0" w:color="auto"/>
            </w:tcBorders>
            <w:vAlign w:val="bottom"/>
          </w:tcPr>
          <w:p w:rsidR="00743DAD" w:rsidRPr="001F280F" w:rsidRDefault="00743DAD" w:rsidP="000A623E">
            <w:pPr>
              <w:rPr>
                <w:rFonts w:cs="Arial"/>
                <w:b/>
                <w:szCs w:val="24"/>
              </w:rPr>
            </w:pPr>
            <w:r>
              <w:rPr>
                <w:b/>
                <w:szCs w:val="24"/>
              </w:rPr>
              <w:t>Statut actuel</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34.</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COSEPAC :  </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35.</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Année de l’évaluation :  </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36.</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Historique du statut selon le COSEPAC :  </w:t>
            </w:r>
          </w:p>
          <w:p w:rsidR="00743DAD" w:rsidRPr="001F280F" w:rsidRDefault="00743DAD" w:rsidP="000A623E">
            <w:pPr>
              <w:rPr>
                <w:rFonts w:cs="Arial"/>
                <w:szCs w:val="24"/>
              </w:rPr>
            </w:pPr>
          </w:p>
          <w:p w:rsidR="00743DAD" w:rsidRPr="001F280F" w:rsidRDefault="00743DAD" w:rsidP="000A623E">
            <w:pPr>
              <w:rPr>
                <w:rFonts w:cs="Arial"/>
                <w:szCs w:val="24"/>
              </w:rPr>
            </w:pPr>
            <w:r>
              <w:t>R</w:t>
            </w:r>
            <w:r w:rsidR="00E004ED">
              <w:t>emarque, p. ex. </w:t>
            </w:r>
            <w:r>
              <w:t>:</w:t>
            </w:r>
            <w:r>
              <w:rPr>
                <w:color w:val="000000"/>
                <w:szCs w:val="24"/>
              </w:rPr>
              <w:t xml:space="preserve"> L’espèce a été considérée comme une unité et a été désignée « préoccupante » en avril 1983. </w:t>
            </w:r>
            <w:r w:rsidR="00E004ED">
              <w:rPr>
                <w:rFonts w:cs="Arial"/>
              </w:rPr>
              <w:t>L’espèce a été divisée en deux populations en mai 2002. La population de l’Atlantique a été désignée « en voie de disparition » en mai 2002. Ce statut a été réexaminé et confirmé en mai 2012</w:t>
            </w:r>
            <w:r>
              <w:rPr>
                <w:color w:val="000000"/>
                <w:szCs w:val="24"/>
              </w:rPr>
              <w:t>.</w:t>
            </w: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lastRenderedPageBreak/>
              <w:t>37.</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Critères</w:t>
            </w:r>
            <w:r w:rsidR="00E004ED">
              <w:t xml:space="preserve"> d’évaluation</w:t>
            </w:r>
            <w:r>
              <w:t xml:space="preserve"> :  </w:t>
            </w:r>
          </w:p>
        </w:tc>
      </w:tr>
      <w:tr w:rsidR="00743DAD" w:rsidRPr="001F280F" w:rsidTr="000A623E">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38.</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Justification de la désignation :</w:t>
            </w: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Height w:val="820"/>
        </w:trPr>
        <w:tc>
          <w:tcPr>
            <w:tcW w:w="385" w:type="pct"/>
            <w:tcBorders>
              <w:top w:val="single" w:sz="4" w:space="0" w:color="auto"/>
            </w:tcBorders>
          </w:tcPr>
          <w:p w:rsidR="00743DAD" w:rsidRPr="001F280F" w:rsidRDefault="00743DAD" w:rsidP="000A623E">
            <w:pPr>
              <w:keepNext/>
              <w:keepLines/>
              <w:ind w:left="7"/>
              <w:rPr>
                <w:rFonts w:cs="Arial"/>
                <w:b/>
                <w:szCs w:val="24"/>
              </w:rPr>
            </w:pPr>
          </w:p>
        </w:tc>
        <w:tc>
          <w:tcPr>
            <w:tcW w:w="4615" w:type="pct"/>
            <w:gridSpan w:val="7"/>
            <w:tcBorders>
              <w:top w:val="single" w:sz="4" w:space="0" w:color="auto"/>
            </w:tcBorders>
          </w:tcPr>
          <w:p w:rsidR="00743DAD" w:rsidRPr="001F280F" w:rsidRDefault="00743DAD" w:rsidP="000A623E">
            <w:pPr>
              <w:keepNext/>
              <w:keepLines/>
              <w:ind w:left="7"/>
              <w:rPr>
                <w:rFonts w:cs="Arial"/>
                <w:b/>
                <w:szCs w:val="24"/>
              </w:rPr>
            </w:pPr>
          </w:p>
          <w:p w:rsidR="00743DAD" w:rsidRPr="001F280F" w:rsidRDefault="00743DAD" w:rsidP="000A623E">
            <w:pPr>
              <w:keepNext/>
              <w:keepLines/>
              <w:ind w:left="7"/>
              <w:rPr>
                <w:rFonts w:cs="Arial"/>
                <w:b/>
                <w:szCs w:val="24"/>
              </w:rPr>
            </w:pPr>
          </w:p>
          <w:p w:rsidR="00743DAD" w:rsidRPr="001F280F" w:rsidRDefault="00743DAD" w:rsidP="00E004ED">
            <w:pPr>
              <w:keepNext/>
              <w:keepLines/>
              <w:ind w:left="7"/>
              <w:rPr>
                <w:rFonts w:cs="Arial"/>
                <w:b/>
                <w:szCs w:val="24"/>
              </w:rPr>
            </w:pPr>
            <w:r>
              <w:rPr>
                <w:b/>
                <w:szCs w:val="24"/>
              </w:rPr>
              <w:t xml:space="preserve">Statut recommandé et </w:t>
            </w:r>
            <w:r w:rsidR="00E004ED">
              <w:rPr>
                <w:b/>
                <w:szCs w:val="24"/>
              </w:rPr>
              <w:t>justification de la désignation</w:t>
            </w: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t>39.</w:t>
            </w:r>
          </w:p>
        </w:tc>
        <w:tc>
          <w:tcPr>
            <w:tcW w:w="3103" w:type="pct"/>
            <w:gridSpan w:val="5"/>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t>Statut recommandé</w:t>
            </w:r>
            <w:r w:rsidR="00E004ED">
              <w:t> :</w:t>
            </w:r>
          </w:p>
          <w:p w:rsidR="00743DAD" w:rsidRPr="001F280F" w:rsidRDefault="00743DAD" w:rsidP="000A623E">
            <w:pPr>
              <w:keepNext/>
              <w:keepLines/>
              <w:ind w:left="360"/>
              <w:rPr>
                <w:rFonts w:cs="Arial"/>
                <w:szCs w:val="24"/>
              </w:rPr>
            </w:pPr>
          </w:p>
          <w:p w:rsidR="00743DAD" w:rsidRPr="001F280F" w:rsidRDefault="00743DAD" w:rsidP="00E004ED">
            <w:pPr>
              <w:keepNext/>
              <w:keepLines/>
              <w:rPr>
                <w:rFonts w:cs="Arial"/>
                <w:szCs w:val="24"/>
              </w:rPr>
            </w:pPr>
            <w:r>
              <w:t xml:space="preserve">Remarque : Le statut recommandé est changé à « statut actuel » lorsque le rapport est </w:t>
            </w:r>
            <w:r w:rsidR="00E004ED">
              <w:t>achevé</w:t>
            </w:r>
            <w:r>
              <w:t xml:space="preserve"> à la réunion d’évaluation des espèces sauvages.</w:t>
            </w:r>
          </w:p>
        </w:tc>
        <w:tc>
          <w:tcPr>
            <w:tcW w:w="1512" w:type="pct"/>
            <w:gridSpan w:val="2"/>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 40. Code alphanumérique :</w:t>
            </w:r>
          </w:p>
        </w:tc>
      </w:tr>
      <w:tr w:rsidR="00743DAD" w:rsidRPr="001F280F" w:rsidTr="000A623E">
        <w:tblPrEx>
          <w:tblLook w:val="0620" w:firstRow="1" w:lastRow="0" w:firstColumn="0" w:lastColumn="0" w:noHBand="1" w:noVBand="1"/>
        </w:tblPrEx>
        <w:trPr>
          <w:cantSplit/>
          <w:trHeight w:val="728"/>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t>41.</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keepNext/>
              <w:keepLines/>
              <w:rPr>
                <w:rFonts w:cs="Arial"/>
                <w:szCs w:val="24"/>
              </w:rPr>
            </w:pPr>
            <w:r>
              <w:t>Justification de la désignation</w:t>
            </w:r>
            <w:r w:rsidR="00E004ED">
              <w:t> :</w:t>
            </w:r>
          </w:p>
          <w:p w:rsidR="00743DAD" w:rsidRPr="001F280F" w:rsidRDefault="00743DAD" w:rsidP="000A623E">
            <w:pPr>
              <w:keepNext/>
              <w:keepLines/>
              <w:rPr>
                <w:rFonts w:cs="Arial"/>
                <w:szCs w:val="24"/>
              </w:rPr>
            </w:pPr>
          </w:p>
        </w:tc>
      </w:tr>
      <w:tr w:rsidR="00743DAD" w:rsidRPr="001F280F" w:rsidTr="000A623E">
        <w:tblPrEx>
          <w:tblLook w:val="0620" w:firstRow="1" w:lastRow="0" w:firstColumn="0" w:lastColumn="0" w:noHBand="1" w:noVBand="1"/>
        </w:tblPrEx>
        <w:trPr>
          <w:cantSplit/>
        </w:trPr>
        <w:tc>
          <w:tcPr>
            <w:tcW w:w="385" w:type="pct"/>
          </w:tcPr>
          <w:p w:rsidR="00743DAD" w:rsidRPr="001F280F" w:rsidRDefault="00743DAD" w:rsidP="000A623E">
            <w:pPr>
              <w:ind w:left="360"/>
              <w:rPr>
                <w:rFonts w:cs="Arial"/>
                <w:b/>
                <w:szCs w:val="24"/>
              </w:rPr>
            </w:pPr>
          </w:p>
        </w:tc>
        <w:tc>
          <w:tcPr>
            <w:tcW w:w="4615" w:type="pct"/>
            <w:gridSpan w:val="7"/>
          </w:tcPr>
          <w:p w:rsidR="00743DAD" w:rsidRPr="001F280F" w:rsidRDefault="00743DAD" w:rsidP="000A623E">
            <w:pPr>
              <w:ind w:left="360"/>
              <w:rPr>
                <w:rFonts w:cs="Arial"/>
                <w:b/>
                <w:szCs w:val="24"/>
              </w:rPr>
            </w:pPr>
          </w:p>
          <w:p w:rsidR="00743DAD" w:rsidRPr="001F280F" w:rsidRDefault="00743DAD" w:rsidP="000A623E">
            <w:pPr>
              <w:rPr>
                <w:rFonts w:cs="Arial"/>
                <w:szCs w:val="24"/>
              </w:rPr>
            </w:pP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bottom w:val="single" w:sz="4" w:space="0" w:color="auto"/>
            </w:tcBorders>
          </w:tcPr>
          <w:p w:rsidR="00743DAD" w:rsidRPr="001F280F" w:rsidRDefault="00743DAD" w:rsidP="000A623E">
            <w:pPr>
              <w:ind w:left="7"/>
              <w:rPr>
                <w:rFonts w:cs="Arial"/>
                <w:b/>
                <w:szCs w:val="24"/>
              </w:rPr>
            </w:pPr>
          </w:p>
        </w:tc>
        <w:tc>
          <w:tcPr>
            <w:tcW w:w="4615" w:type="pct"/>
            <w:gridSpan w:val="7"/>
            <w:tcBorders>
              <w:bottom w:val="single" w:sz="4" w:space="0" w:color="auto"/>
            </w:tcBorders>
          </w:tcPr>
          <w:p w:rsidR="00743DAD" w:rsidRPr="001F280F" w:rsidRDefault="00743DAD" w:rsidP="000A623E">
            <w:pPr>
              <w:ind w:left="7"/>
              <w:rPr>
                <w:rFonts w:cs="Arial"/>
                <w:b/>
                <w:szCs w:val="24"/>
              </w:rPr>
            </w:pPr>
            <w:r>
              <w:rPr>
                <w:b/>
                <w:szCs w:val="24"/>
              </w:rPr>
              <w:t>Applicabilité des critères</w:t>
            </w: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szCs w:val="24"/>
              </w:rPr>
            </w:pPr>
            <w:r>
              <w:t>42.</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 xml:space="preserve">Critère A (déclin du nombre total d’individus matures) : </w:t>
            </w:r>
          </w:p>
          <w:p w:rsidR="00743DAD" w:rsidRPr="001F280F" w:rsidRDefault="00743DAD" w:rsidP="000A623E">
            <w:pPr>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t>43.</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Critère B (petite aire de répartition, et déclin ou fluctuation) :</w:t>
            </w:r>
          </w:p>
          <w:p w:rsidR="00743DAD" w:rsidRPr="001F280F" w:rsidRDefault="00743DAD" w:rsidP="000A623E">
            <w:pPr>
              <w:ind w:left="433" w:hanging="433"/>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t>44.</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Critère C (nombre d’individus matures peu élevé et en déclin) :</w:t>
            </w:r>
          </w:p>
          <w:p w:rsidR="00743DAD" w:rsidRPr="001F280F" w:rsidRDefault="00743DAD" w:rsidP="000A623E">
            <w:pPr>
              <w:ind w:left="433" w:hanging="433"/>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t>45.</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Critère D (très petite population totale ou répartition restreinte) :</w:t>
            </w:r>
          </w:p>
          <w:p w:rsidR="00743DAD" w:rsidRPr="001F280F" w:rsidRDefault="00743DAD" w:rsidP="000A623E">
            <w:pPr>
              <w:ind w:left="433" w:hanging="433"/>
              <w:rPr>
                <w:rFonts w:cs="Arial"/>
                <w:szCs w:val="24"/>
              </w:rPr>
            </w:pPr>
          </w:p>
        </w:tc>
      </w:tr>
      <w:tr w:rsidR="00743DAD" w:rsidRPr="001F280F" w:rsidTr="000A623E">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743DAD" w:rsidRPr="001F280F" w:rsidRDefault="00743DAD" w:rsidP="000A623E">
            <w:pPr>
              <w:ind w:left="433" w:hanging="433"/>
              <w:rPr>
                <w:rFonts w:cs="Arial"/>
                <w:bCs/>
                <w:szCs w:val="24"/>
              </w:rPr>
            </w:pPr>
            <w:r>
              <w:t>46.</w:t>
            </w:r>
          </w:p>
        </w:tc>
        <w:tc>
          <w:tcPr>
            <w:tcW w:w="4615" w:type="pct"/>
            <w:gridSpan w:val="7"/>
            <w:tcBorders>
              <w:top w:val="single" w:sz="4" w:space="0" w:color="auto"/>
              <w:left w:val="single" w:sz="4" w:space="0" w:color="auto"/>
              <w:bottom w:val="single" w:sz="4" w:space="0" w:color="auto"/>
              <w:right w:val="single" w:sz="4" w:space="0" w:color="auto"/>
            </w:tcBorders>
          </w:tcPr>
          <w:p w:rsidR="00743DAD" w:rsidRPr="001F280F" w:rsidRDefault="00743DAD" w:rsidP="000A623E">
            <w:pPr>
              <w:rPr>
                <w:rFonts w:cs="Arial"/>
                <w:szCs w:val="24"/>
              </w:rPr>
            </w:pPr>
            <w:r>
              <w:t>Critère E (analyse quantitative) :</w:t>
            </w:r>
          </w:p>
          <w:p w:rsidR="00743DAD" w:rsidRPr="001F280F" w:rsidRDefault="00743DAD" w:rsidP="000A623E">
            <w:pPr>
              <w:ind w:left="433" w:hanging="433"/>
              <w:rPr>
                <w:rFonts w:cs="Arial"/>
                <w:szCs w:val="24"/>
              </w:rPr>
            </w:pPr>
          </w:p>
        </w:tc>
      </w:tr>
    </w:tbl>
    <w:p w:rsidR="00743DAD" w:rsidRPr="001F280F" w:rsidRDefault="00743DAD" w:rsidP="00743DAD">
      <w:pPr>
        <w:rPr>
          <w:szCs w:val="24"/>
        </w:rPr>
      </w:pPr>
    </w:p>
    <w:p w:rsidR="00743DAD" w:rsidRPr="00CB0BD7" w:rsidRDefault="00743DAD" w:rsidP="00743DAD">
      <w:pPr>
        <w:pStyle w:val="Footer"/>
        <w:tabs>
          <w:tab w:val="left" w:pos="4320"/>
          <w:tab w:val="left" w:pos="8640"/>
        </w:tabs>
        <w:rPr>
          <w:rFonts w:cs="Arial"/>
          <w:szCs w:val="24"/>
        </w:rPr>
      </w:pPr>
      <w:r>
        <w:t>[Saut de page]</w:t>
      </w:r>
    </w:p>
    <w:p w:rsidR="00743DAD" w:rsidRDefault="00743DAD" w:rsidP="00743DAD">
      <w:pPr>
        <w:pStyle w:val="BodyTextI2"/>
        <w:ind w:firstLine="0"/>
        <w:rPr>
          <w:rFonts w:cs="Arial"/>
          <w:szCs w:val="24"/>
        </w:rPr>
      </w:pPr>
    </w:p>
    <w:p w:rsidR="00743DAD" w:rsidRDefault="00743DAD" w:rsidP="00743DAD">
      <w:pPr>
        <w:pStyle w:val="BodyTextI2"/>
        <w:ind w:firstLine="0"/>
        <w:rPr>
          <w:rFonts w:cs="Arial"/>
          <w:szCs w:val="24"/>
        </w:rPr>
      </w:pPr>
    </w:p>
    <w:p w:rsidR="002C1B1F" w:rsidRPr="00C21D45" w:rsidRDefault="002C1B1F" w:rsidP="002C1B1F">
      <w:pPr>
        <w:ind w:firstLine="540"/>
        <w:rPr>
          <w:szCs w:val="24"/>
        </w:rPr>
      </w:pPr>
      <w:r>
        <w:t xml:space="preserve"> </w:t>
      </w:r>
    </w:p>
    <w:p w:rsidR="002C1B1F" w:rsidRPr="00C21D45"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lang w:eastAsia="en-CA"/>
        </w:rPr>
      </w:pPr>
    </w:p>
    <w:p w:rsidR="002C1B1F" w:rsidRPr="00C21D45"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4"/>
        </w:rPr>
      </w:pPr>
      <w:r>
        <w:rPr>
          <w:b/>
          <w:szCs w:val="24"/>
        </w:rPr>
        <w:t>Remerciements :</w:t>
      </w:r>
    </w:p>
    <w:p w:rsidR="002C1B1F" w:rsidRPr="00C21D45"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p>
    <w:p w:rsidR="002C1B1F" w:rsidRPr="007D3C89"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r>
        <w:rPr>
          <w:b/>
          <w:szCs w:val="24"/>
        </w:rPr>
        <w:t>Experts contactés :</w:t>
      </w:r>
    </w:p>
    <w:p w:rsidR="002C1B1F" w:rsidRPr="007D3C89"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p>
    <w:p w:rsidR="002C1B1F" w:rsidRPr="007D3C89" w:rsidRDefault="002C1B1F" w:rsidP="002C1B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4"/>
        </w:rPr>
      </w:pPr>
      <w:r>
        <w:rPr>
          <w:b/>
          <w:szCs w:val="24"/>
        </w:rPr>
        <w:t>Sources d’information :</w:t>
      </w:r>
    </w:p>
    <w:p w:rsidR="002C1B1F" w:rsidRPr="007D3C89" w:rsidRDefault="002C1B1F" w:rsidP="002C1B1F">
      <w:pPr>
        <w:rPr>
          <w:rFonts w:cs="Arial"/>
          <w:sz w:val="22"/>
          <w:szCs w:val="22"/>
        </w:rPr>
      </w:pPr>
    </w:p>
    <w:p w:rsidR="002C1B1F" w:rsidRPr="007D3C89" w:rsidRDefault="002C1B1F" w:rsidP="002C1B1F">
      <w:pPr>
        <w:rPr>
          <w:rFonts w:cs="Arial"/>
          <w:b/>
          <w:szCs w:val="24"/>
        </w:rPr>
      </w:pPr>
      <w:r>
        <w:rPr>
          <w:b/>
          <w:szCs w:val="24"/>
        </w:rPr>
        <w:t>Rédacteur de l’</w:t>
      </w:r>
      <w:r w:rsidR="0063403C">
        <w:rPr>
          <w:b/>
          <w:szCs w:val="24"/>
        </w:rPr>
        <w:t>ERC</w:t>
      </w:r>
      <w:r>
        <w:rPr>
          <w:b/>
          <w:szCs w:val="24"/>
        </w:rPr>
        <w:t xml:space="preserve"> : </w:t>
      </w:r>
    </w:p>
    <w:p w:rsidR="002C1B1F" w:rsidRPr="007D3C89" w:rsidRDefault="002C1B1F" w:rsidP="002C1B1F">
      <w:pPr>
        <w:rPr>
          <w:szCs w:val="24"/>
        </w:rPr>
      </w:pPr>
    </w:p>
    <w:p w:rsidR="002C1B1F" w:rsidRPr="00E004ED" w:rsidRDefault="002C1B1F" w:rsidP="002C1B1F">
      <w:pPr>
        <w:rPr>
          <w:szCs w:val="24"/>
        </w:rPr>
      </w:pPr>
      <w:r w:rsidRPr="00E004ED">
        <w:t>[</w:t>
      </w:r>
      <w:r w:rsidR="00E004ED">
        <w:t>Les sections suivantes seront incluses dans l’ébauche des rapports d’</w:t>
      </w:r>
      <w:r w:rsidR="0063403C">
        <w:t>ERC</w:t>
      </w:r>
      <w:r w:rsidR="00E004ED">
        <w:t xml:space="preserve"> et seront examinées dans le cadre des processus d’examen et de vote </w:t>
      </w:r>
      <w:r w:rsidRPr="00E004ED">
        <w:t>(</w:t>
      </w:r>
      <w:r w:rsidR="00E004ED">
        <w:t>organigrammes </w:t>
      </w:r>
      <w:r w:rsidRPr="00E004ED">
        <w:t xml:space="preserve">I </w:t>
      </w:r>
      <w:r w:rsidR="00E004ED">
        <w:t>et</w:t>
      </w:r>
      <w:r w:rsidRPr="00E004ED">
        <w:t xml:space="preserve"> II)</w:t>
      </w:r>
      <w:r w:rsidR="00E004ED">
        <w:t>; elles seront toutefois supprimées à l’achèvement de l’</w:t>
      </w:r>
      <w:r w:rsidR="0063403C">
        <w:t>ERC</w:t>
      </w:r>
      <w:r w:rsidR="00E004ED">
        <w:t>.]</w:t>
      </w:r>
    </w:p>
    <w:p w:rsidR="002C1B1F" w:rsidRPr="00AC745E" w:rsidRDefault="002C1B1F" w:rsidP="002C1B1F">
      <w:pPr>
        <w:rPr>
          <w:szCs w:val="24"/>
        </w:rPr>
      </w:pPr>
      <w:r w:rsidRPr="00AC745E">
        <w:lastRenderedPageBreak/>
        <w:t xml:space="preserve"> </w:t>
      </w:r>
    </w:p>
    <w:p w:rsidR="002C1B1F" w:rsidRPr="007D3C89" w:rsidRDefault="00BA59B5" w:rsidP="002C1B1F">
      <w:pPr>
        <w:rPr>
          <w:szCs w:val="24"/>
        </w:rPr>
      </w:pPr>
      <w:r>
        <w:rPr>
          <w:b/>
          <w:szCs w:val="24"/>
        </w:rPr>
        <w:t>Élé</w:t>
      </w:r>
      <w:r w:rsidR="00D62CD3">
        <w:rPr>
          <w:b/>
          <w:szCs w:val="24"/>
        </w:rPr>
        <w:t>ment</w:t>
      </w:r>
      <w:r>
        <w:rPr>
          <w:b/>
          <w:szCs w:val="24"/>
        </w:rPr>
        <w:t xml:space="preserve"> graph</w:t>
      </w:r>
      <w:r w:rsidR="00D62CD3">
        <w:rPr>
          <w:b/>
          <w:szCs w:val="24"/>
        </w:rPr>
        <w:t>ique</w:t>
      </w:r>
      <w:r>
        <w:rPr>
          <w:b/>
          <w:szCs w:val="24"/>
        </w:rPr>
        <w:t xml:space="preserve"> </w:t>
      </w:r>
      <w:r w:rsidR="00D62CD3">
        <w:rPr>
          <w:b/>
          <w:szCs w:val="24"/>
        </w:rPr>
        <w:t xml:space="preserve">issu </w:t>
      </w:r>
      <w:r>
        <w:rPr>
          <w:b/>
          <w:szCs w:val="24"/>
        </w:rPr>
        <w:t xml:space="preserve">de </w:t>
      </w:r>
      <w:r w:rsidR="002C1B1F">
        <w:rPr>
          <w:b/>
          <w:szCs w:val="24"/>
        </w:rPr>
        <w:t>RAMAS</w:t>
      </w:r>
      <w:r w:rsidR="002C1B1F">
        <w:t xml:space="preserve"> (</w:t>
      </w:r>
      <w:r>
        <w:t>c</w:t>
      </w:r>
      <w:r w:rsidR="00D62CD3">
        <w:t>ollez</w:t>
      </w:r>
      <w:r>
        <w:t xml:space="preserve"> une capture d’écran, p. ex. depuis</w:t>
      </w:r>
      <w:r w:rsidR="002C1B1F">
        <w:t xml:space="preserve"> </w:t>
      </w:r>
      <w:proofErr w:type="spellStart"/>
      <w:r w:rsidR="002C1B1F">
        <w:t>Side</w:t>
      </w:r>
      <w:proofErr w:type="spellEnd"/>
      <w:r w:rsidR="002C1B1F">
        <w:t xml:space="preserve"> Note) :</w:t>
      </w:r>
    </w:p>
    <w:p w:rsidR="002C1B1F" w:rsidRPr="007D3C89" w:rsidRDefault="002C1B1F" w:rsidP="002C1B1F">
      <w:pPr>
        <w:rPr>
          <w:szCs w:val="24"/>
        </w:rPr>
      </w:pPr>
    </w:p>
    <w:p w:rsidR="002C1B1F" w:rsidRPr="007D3C89" w:rsidRDefault="00D62CD3" w:rsidP="002C1B1F">
      <w:pPr>
        <w:rPr>
          <w:szCs w:val="24"/>
        </w:rPr>
      </w:pPr>
      <w:r>
        <w:rPr>
          <w:szCs w:val="24"/>
        </w:rPr>
        <w:t>« </w:t>
      </w:r>
      <w:r w:rsidRPr="007D3C89">
        <w:rPr>
          <w:szCs w:val="24"/>
        </w:rPr>
        <w:t xml:space="preserve">RAMAS® </w:t>
      </w:r>
      <w:proofErr w:type="spellStart"/>
      <w:r w:rsidRPr="007D3C89">
        <w:rPr>
          <w:szCs w:val="24"/>
        </w:rPr>
        <w:t>Red</w:t>
      </w:r>
      <w:proofErr w:type="spellEnd"/>
      <w:r w:rsidRPr="007D3C89">
        <w:rPr>
          <w:szCs w:val="24"/>
        </w:rPr>
        <w:t xml:space="preserve"> List: </w:t>
      </w:r>
      <w:proofErr w:type="spellStart"/>
      <w:r w:rsidRPr="007D3C89">
        <w:rPr>
          <w:szCs w:val="24"/>
        </w:rPr>
        <w:t>Threatened</w:t>
      </w:r>
      <w:proofErr w:type="spellEnd"/>
      <w:r w:rsidRPr="007D3C89">
        <w:rPr>
          <w:szCs w:val="24"/>
        </w:rPr>
        <w:t xml:space="preserve"> </w:t>
      </w:r>
      <w:proofErr w:type="spellStart"/>
      <w:r w:rsidRPr="007D3C89">
        <w:rPr>
          <w:szCs w:val="24"/>
        </w:rPr>
        <w:t>species</w:t>
      </w:r>
      <w:proofErr w:type="spellEnd"/>
      <w:r w:rsidRPr="007D3C89">
        <w:rPr>
          <w:szCs w:val="24"/>
        </w:rPr>
        <w:t xml:space="preserve"> classification </w:t>
      </w:r>
      <w:proofErr w:type="spellStart"/>
      <w:r w:rsidRPr="007D3C89">
        <w:rPr>
          <w:szCs w:val="24"/>
        </w:rPr>
        <w:t>under</w:t>
      </w:r>
      <w:proofErr w:type="spellEnd"/>
      <w:r w:rsidRPr="007D3C89">
        <w:rPr>
          <w:szCs w:val="24"/>
        </w:rPr>
        <w:t xml:space="preserve"> </w:t>
      </w:r>
      <w:proofErr w:type="spellStart"/>
      <w:r w:rsidRPr="007D3C89">
        <w:rPr>
          <w:szCs w:val="24"/>
        </w:rPr>
        <w:t>uncertainty</w:t>
      </w:r>
      <w:proofErr w:type="spellEnd"/>
      <w:r>
        <w:rPr>
          <w:szCs w:val="24"/>
        </w:rPr>
        <w:t> »</w:t>
      </w:r>
      <w:r>
        <w:t xml:space="preserve"> </w:t>
      </w:r>
      <w:r w:rsidR="002C1B1F">
        <w:t xml:space="preserve">est un programme informatique qui fournit un éventail de </w:t>
      </w:r>
      <w:r>
        <w:t xml:space="preserve">statuts probables de l’UICN pour les </w:t>
      </w:r>
      <w:r w:rsidR="002C1B1F">
        <w:t>espèces en fonction des critères de l’UICN. Ces catégories et critères ont</w:t>
      </w:r>
      <w:r>
        <w:t xml:space="preserve"> été adoptés </w:t>
      </w:r>
      <w:r w:rsidR="002C1B1F">
        <w:t xml:space="preserve">par </w:t>
      </w:r>
      <w:r>
        <w:t>le COSEPAC aux fins de l’attribution des</w:t>
      </w:r>
      <w:r w:rsidR="002C1B1F">
        <w:t xml:space="preserve"> statut</w:t>
      </w:r>
      <w:r>
        <w:t>s</w:t>
      </w:r>
      <w:r w:rsidR="002C1B1F">
        <w:t>. Ve</w:t>
      </w:r>
      <w:r>
        <w:t xml:space="preserve">uillez noter que les catégories </w:t>
      </w:r>
      <w:r w:rsidR="002C1B1F">
        <w:t>« </w:t>
      </w:r>
      <w:r w:rsidR="00397D96">
        <w:t>En danger critique</w:t>
      </w:r>
      <w:r w:rsidR="002C1B1F">
        <w:t xml:space="preserve"> » et « En </w:t>
      </w:r>
      <w:r w:rsidR="00397D96">
        <w:t>danger</w:t>
      </w:r>
      <w:r w:rsidR="002C1B1F">
        <w:t xml:space="preserve"> » </w:t>
      </w:r>
      <w:r>
        <w:t xml:space="preserve">de l’UICN </w:t>
      </w:r>
      <w:r w:rsidR="002C1B1F">
        <w:t>correspondent à</w:t>
      </w:r>
      <w:r w:rsidR="00397D96">
        <w:t xml:space="preserve"> la catégorie</w:t>
      </w:r>
      <w:r w:rsidR="002C1B1F">
        <w:t xml:space="preserve"> « En voie de disparition</w:t>
      </w:r>
      <w:r w:rsidR="00397D96">
        <w:t> » du COSEPAC; la catégorie « Vulnérable » de</w:t>
      </w:r>
      <w:r w:rsidR="002C1B1F">
        <w:t xml:space="preserve"> l’UICN </w:t>
      </w:r>
      <w:r w:rsidR="00397D96">
        <w:t>correspond à la catégorie</w:t>
      </w:r>
      <w:r w:rsidR="002C1B1F">
        <w:t xml:space="preserve"> « Menacé</w:t>
      </w:r>
      <w:r>
        <w:t>e</w:t>
      </w:r>
      <w:r w:rsidR="002C1B1F">
        <w:t> » du COSEPAC; et</w:t>
      </w:r>
      <w:r w:rsidR="00397D96">
        <w:t xml:space="preserve"> la catégorie</w:t>
      </w:r>
      <w:r w:rsidR="002C1B1F">
        <w:t xml:space="preserve"> « Préoc</w:t>
      </w:r>
      <w:r w:rsidR="00397D96">
        <w:t>cupation mineure » de l’UICN correspond à la catégorie</w:t>
      </w:r>
      <w:r w:rsidR="002C1B1F">
        <w:t xml:space="preserve"> « Préoccupante » du COSEPAC.</w:t>
      </w:r>
    </w:p>
    <w:p w:rsidR="002C1B1F" w:rsidRPr="007D3C89" w:rsidRDefault="002C1B1F" w:rsidP="002C1B1F">
      <w:pPr>
        <w:rPr>
          <w:szCs w:val="24"/>
        </w:rPr>
      </w:pPr>
    </w:p>
    <w:p w:rsidR="002C1B1F" w:rsidRPr="00D62CD3" w:rsidRDefault="00D62CD3" w:rsidP="002C1B1F">
      <w:pPr>
        <w:ind w:left="1440" w:firstLine="720"/>
        <w:rPr>
          <w:szCs w:val="24"/>
        </w:rPr>
      </w:pPr>
      <w:r w:rsidRPr="00D62CD3">
        <w:t>[Collez une capture d’éc</w:t>
      </w:r>
      <w:r>
        <w:t>r</w:t>
      </w:r>
      <w:r w:rsidRPr="00D62CD3">
        <w:t>an ici</w:t>
      </w:r>
      <w:r w:rsidR="002C1B1F" w:rsidRPr="00D62CD3">
        <w:t>]</w:t>
      </w:r>
    </w:p>
    <w:p w:rsidR="002C1B1F" w:rsidRPr="00AC745E" w:rsidRDefault="002C1B1F" w:rsidP="002C1B1F">
      <w:pPr>
        <w:widowControl/>
        <w:spacing w:after="200" w:line="276" w:lineRule="auto"/>
        <w:rPr>
          <w:b/>
          <w:szCs w:val="24"/>
        </w:rPr>
      </w:pPr>
    </w:p>
    <w:p w:rsidR="002C1B1F" w:rsidRPr="005E4585" w:rsidRDefault="00D62CD3" w:rsidP="002C1B1F">
      <w:pPr>
        <w:widowControl/>
        <w:spacing w:after="200" w:line="276" w:lineRule="auto"/>
        <w:rPr>
          <w:b/>
          <w:szCs w:val="24"/>
        </w:rPr>
      </w:pPr>
      <w:r>
        <w:rPr>
          <w:b/>
          <w:szCs w:val="24"/>
        </w:rPr>
        <w:t xml:space="preserve">Texte issu de </w:t>
      </w:r>
      <w:r w:rsidR="002C1B1F" w:rsidRPr="005E4585">
        <w:rPr>
          <w:b/>
          <w:szCs w:val="24"/>
        </w:rPr>
        <w:t>RAMAS :</w:t>
      </w:r>
    </w:p>
    <w:p w:rsidR="002C1B1F" w:rsidRPr="005E4585" w:rsidRDefault="002C1B1F" w:rsidP="002C1B1F">
      <w:pPr>
        <w:widowControl/>
        <w:spacing w:after="200" w:line="276" w:lineRule="auto"/>
        <w:rPr>
          <w:b/>
          <w:szCs w:val="24"/>
        </w:rPr>
      </w:pPr>
      <w:r w:rsidRPr="005E4585">
        <w:t>[</w:t>
      </w:r>
      <w:proofErr w:type="gramStart"/>
      <w:r w:rsidR="00D62CD3">
        <w:t>collez</w:t>
      </w:r>
      <w:proofErr w:type="gramEnd"/>
      <w:r w:rsidR="00D62CD3">
        <w:t xml:space="preserve"> le texte ici]</w:t>
      </w:r>
      <w:r w:rsidRPr="005E4585">
        <w:rPr>
          <w:b/>
          <w:szCs w:val="24"/>
        </w:rPr>
        <w:t xml:space="preserve"> </w:t>
      </w:r>
    </w:p>
    <w:p w:rsidR="007809A9" w:rsidRPr="005E4585" w:rsidRDefault="00AC745E" w:rsidP="002C1B1F"/>
    <w:sectPr w:rsidR="007809A9" w:rsidRPr="005E458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71" w:rsidRDefault="00BA2B71" w:rsidP="001A5D3B">
      <w:r>
        <w:separator/>
      </w:r>
    </w:p>
  </w:endnote>
  <w:endnote w:type="continuationSeparator" w:id="0">
    <w:p w:rsidR="00BA2B71" w:rsidRDefault="00BA2B71" w:rsidP="001A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3B" w:rsidRDefault="001A5D3B">
    <w:pPr>
      <w:pStyle w:val="Footer"/>
    </w:pPr>
    <w:r>
      <w:rPr>
        <w:color w:val="808080"/>
        <w:sz w:val="20"/>
      </w:rPr>
      <w:tab/>
      <w:t>E6, page </w:t>
    </w:r>
    <w:r>
      <w:rPr>
        <w:rStyle w:val="PageNumber"/>
      </w:rPr>
      <w:fldChar w:fldCharType="begin"/>
    </w:r>
    <w:r>
      <w:rPr>
        <w:rStyle w:val="PageNumber"/>
      </w:rPr>
      <w:instrText xml:space="preserve"> PAGE </w:instrText>
    </w:r>
    <w:r>
      <w:rPr>
        <w:rStyle w:val="PageNumber"/>
      </w:rPr>
      <w:fldChar w:fldCharType="separate"/>
    </w:r>
    <w:r w:rsidR="00AC745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71" w:rsidRDefault="00BA2B71" w:rsidP="001A5D3B">
      <w:r>
        <w:separator/>
      </w:r>
    </w:p>
  </w:footnote>
  <w:footnote w:type="continuationSeparator" w:id="0">
    <w:p w:rsidR="00BA2B71" w:rsidRDefault="00BA2B71" w:rsidP="001A5D3B">
      <w:r>
        <w:continuationSeparator/>
      </w:r>
    </w:p>
  </w:footnote>
  <w:footnote w:id="1">
    <w:p w:rsidR="00743DAD" w:rsidRPr="00DA30DD" w:rsidRDefault="00743DAD" w:rsidP="00743DAD">
      <w:pPr>
        <w:pStyle w:val="Footer"/>
        <w:rPr>
          <w:sz w:val="20"/>
        </w:rPr>
      </w:pPr>
      <w:r w:rsidRPr="00DA30DD">
        <w:rPr>
          <w:rStyle w:val="FootnoteReference"/>
        </w:rPr>
        <w:sym w:font="Symbol" w:char="F02A"/>
      </w:r>
      <w:r w:rsidRPr="00DA30DD">
        <w:rPr>
          <w:sz w:val="20"/>
        </w:rPr>
        <w:t xml:space="preserve"> Voir « Définitions et abréviations » sur le </w:t>
      </w:r>
      <w:hyperlink r:id="rId1" w:history="1">
        <w:r w:rsidRPr="00DA30DD">
          <w:rPr>
            <w:rStyle w:val="Hyperlink"/>
            <w:sz w:val="20"/>
          </w:rPr>
          <w:t>site Web du COSEPAC</w:t>
        </w:r>
      </w:hyperlink>
      <w:r w:rsidRPr="00DA30DD">
        <w:rPr>
          <w:sz w:val="20"/>
        </w:rPr>
        <w:t xml:space="preserve"> et </w:t>
      </w:r>
      <w:hyperlink r:id="rId2" w:history="1">
        <w:r w:rsidRPr="00DA30DD">
          <w:rPr>
            <w:rStyle w:val="Hyperlink"/>
            <w:sz w:val="20"/>
          </w:rPr>
          <w:t>IUCN</w:t>
        </w:r>
      </w:hyperlink>
      <w:r w:rsidRPr="00DA30DD">
        <w:rPr>
          <w:sz w:val="20"/>
        </w:rPr>
        <w:t xml:space="preserve"> (février 2014; en anglais seulement) pour obtenir des précisions sur ce terme.</w:t>
      </w:r>
    </w:p>
    <w:p w:rsidR="00743DAD" w:rsidRPr="00AB52BF" w:rsidRDefault="00743DAD" w:rsidP="00743DAD">
      <w:pPr>
        <w:pStyle w:val="FootnoteText"/>
      </w:pPr>
    </w:p>
  </w:footnote>
  <w:footnote w:id="2">
    <w:p w:rsidR="00743DAD" w:rsidRPr="00102859" w:rsidRDefault="00743DAD" w:rsidP="00743DAD">
      <w:pPr>
        <w:pStyle w:val="FootnoteText"/>
      </w:pPr>
    </w:p>
  </w:footnote>
  <w:footnote w:id="3">
    <w:p w:rsidR="00E004ED" w:rsidRPr="00A41262" w:rsidRDefault="00E004ED" w:rsidP="00E004ED">
      <w:pPr>
        <w:pStyle w:val="FootnoteText"/>
      </w:pPr>
      <w:r>
        <w:rPr>
          <w:rStyle w:val="FootnoteReference"/>
        </w:rPr>
        <w:sym w:font="Symbol" w:char="F02B"/>
      </w:r>
      <w:r>
        <w:t xml:space="preserve"> Voir le </w:t>
      </w:r>
      <w:hyperlink r:id="rId3" w:history="1">
        <w:r>
          <w:rPr>
            <w:rStyle w:val="Hyperlink"/>
          </w:rPr>
          <w:t>tableau 3</w:t>
        </w:r>
      </w:hyperlink>
      <w:r>
        <w:t xml:space="preserve"> (Lignes directrices pour la modification de l’évaluation de la situation d’après une immigration de source externe)  </w:t>
      </w:r>
    </w:p>
  </w:footnote>
  <w:footnote w:id="4">
    <w:p w:rsidR="00E004ED" w:rsidRPr="00A41262" w:rsidRDefault="00E004ED" w:rsidP="00E004ED">
      <w:pPr>
        <w:pStyle w:val="FootnoteText"/>
      </w:pPr>
    </w:p>
  </w:footnote>
  <w:footnote w:id="5">
    <w:p w:rsidR="00E004ED" w:rsidRPr="00A41262" w:rsidRDefault="00E004ED" w:rsidP="00E004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3B" w:rsidRPr="00F83724" w:rsidRDefault="001A5D3B" w:rsidP="001A5D3B">
    <w:pPr>
      <w:pStyle w:val="Header"/>
      <w:tabs>
        <w:tab w:val="right" w:pos="8647"/>
      </w:tabs>
      <w:ind w:right="-7"/>
      <w:rPr>
        <w:strike/>
        <w:sz w:val="20"/>
      </w:rPr>
    </w:pPr>
    <w:r>
      <w:rPr>
        <w:sz w:val="20"/>
      </w:rPr>
      <w:t xml:space="preserve">Annexe E6 — </w:t>
    </w:r>
    <w:r w:rsidR="00D3564D">
      <w:rPr>
        <w:sz w:val="20"/>
      </w:rPr>
      <w:t>Procédures d’examen de</w:t>
    </w:r>
    <w:r w:rsidR="005E4585">
      <w:rPr>
        <w:sz w:val="20"/>
      </w:rPr>
      <w:t xml:space="preserve"> </w:t>
    </w:r>
    <w:r w:rsidR="0063403C">
      <w:rPr>
        <w:sz w:val="20"/>
      </w:rPr>
      <w:t xml:space="preserve">la </w:t>
    </w:r>
    <w:r w:rsidR="005E4585">
      <w:rPr>
        <w:sz w:val="20"/>
      </w:rPr>
      <w:t>classification</w:t>
    </w:r>
    <w:r>
      <w:rPr>
        <w:sz w:val="20"/>
      </w:rPr>
      <w:t xml:space="preserve"> </w:t>
    </w:r>
    <w:r>
      <w:rPr>
        <w:sz w:val="20"/>
      </w:rPr>
      <w:tab/>
      <w:t>Novembre 2019</w:t>
    </w:r>
  </w:p>
  <w:p w:rsidR="001A5D3B" w:rsidRDefault="001A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60D6"/>
    <w:multiLevelType w:val="hybridMultilevel"/>
    <w:tmpl w:val="D868CE28"/>
    <w:lvl w:ilvl="0" w:tplc="13CE4820">
      <w:start w:val="2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371FB"/>
    <w:multiLevelType w:val="hybridMultilevel"/>
    <w:tmpl w:val="EC32D274"/>
    <w:lvl w:ilvl="0" w:tplc="25688F6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B484A"/>
    <w:multiLevelType w:val="hybridMultilevel"/>
    <w:tmpl w:val="A718CB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B"/>
    <w:rsid w:val="000378ED"/>
    <w:rsid w:val="00102859"/>
    <w:rsid w:val="00145A90"/>
    <w:rsid w:val="001A5D3B"/>
    <w:rsid w:val="002148A4"/>
    <w:rsid w:val="00250DE7"/>
    <w:rsid w:val="002A49C8"/>
    <w:rsid w:val="002C1B1F"/>
    <w:rsid w:val="00335D48"/>
    <w:rsid w:val="00397D96"/>
    <w:rsid w:val="003A6FB1"/>
    <w:rsid w:val="0045174A"/>
    <w:rsid w:val="00466FC2"/>
    <w:rsid w:val="004C12F4"/>
    <w:rsid w:val="005547BB"/>
    <w:rsid w:val="005E4585"/>
    <w:rsid w:val="0063403C"/>
    <w:rsid w:val="00684FCF"/>
    <w:rsid w:val="006B7E95"/>
    <w:rsid w:val="00743DAD"/>
    <w:rsid w:val="008428C3"/>
    <w:rsid w:val="008A1D93"/>
    <w:rsid w:val="008A1EFC"/>
    <w:rsid w:val="00915495"/>
    <w:rsid w:val="00932DA3"/>
    <w:rsid w:val="00AC745E"/>
    <w:rsid w:val="00BA2B71"/>
    <w:rsid w:val="00BA59B5"/>
    <w:rsid w:val="00BC42F4"/>
    <w:rsid w:val="00D3564D"/>
    <w:rsid w:val="00D62CD3"/>
    <w:rsid w:val="00DA30DD"/>
    <w:rsid w:val="00DD2ED5"/>
    <w:rsid w:val="00E004ED"/>
    <w:rsid w:val="00E0211E"/>
    <w:rsid w:val="00EA2FC6"/>
    <w:rsid w:val="00EA3CE7"/>
    <w:rsid w:val="00EF4B7C"/>
    <w:rsid w:val="00F27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89C6-1796-47D9-95EB-54D629A4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3B"/>
    <w:pPr>
      <w:widowControl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A5D3B"/>
    <w:pPr>
      <w:keepNext/>
      <w:outlineLvl w:val="0"/>
    </w:pPr>
    <w:rPr>
      <w:b/>
      <w:sz w:val="32"/>
    </w:rPr>
  </w:style>
  <w:style w:type="paragraph" w:styleId="Heading2">
    <w:name w:val="heading 2"/>
    <w:basedOn w:val="Normal"/>
    <w:next w:val="Normal"/>
    <w:link w:val="Heading2Char"/>
    <w:uiPriority w:val="9"/>
    <w:semiHidden/>
    <w:unhideWhenUsed/>
    <w:qFormat/>
    <w:rsid w:val="00743D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D3B"/>
    <w:rPr>
      <w:rFonts w:ascii="Arial" w:eastAsia="Times New Roman" w:hAnsi="Arial" w:cs="Times New Roman"/>
      <w:b/>
      <w:sz w:val="32"/>
      <w:szCs w:val="20"/>
      <w:lang w:val="fr-CA"/>
    </w:rPr>
  </w:style>
  <w:style w:type="paragraph" w:styleId="BodyText">
    <w:name w:val="Body Text"/>
    <w:basedOn w:val="Normal"/>
    <w:link w:val="BodyTextChar"/>
    <w:uiPriority w:val="99"/>
    <w:rsid w:val="001A5D3B"/>
    <w:pPr>
      <w:jc w:val="center"/>
    </w:pPr>
    <w:rPr>
      <w:sz w:val="32"/>
    </w:rPr>
  </w:style>
  <w:style w:type="character" w:customStyle="1" w:styleId="BodyTextChar">
    <w:name w:val="Body Text Char"/>
    <w:basedOn w:val="DefaultParagraphFont"/>
    <w:link w:val="BodyText"/>
    <w:uiPriority w:val="99"/>
    <w:rsid w:val="001A5D3B"/>
    <w:rPr>
      <w:rFonts w:ascii="Arial" w:eastAsia="Times New Roman" w:hAnsi="Arial" w:cs="Times New Roman"/>
      <w:sz w:val="32"/>
      <w:szCs w:val="20"/>
      <w:lang w:val="fr-CA"/>
    </w:rPr>
  </w:style>
  <w:style w:type="paragraph" w:styleId="Footer">
    <w:name w:val="footer"/>
    <w:basedOn w:val="Normal"/>
    <w:link w:val="FooterChar"/>
    <w:uiPriority w:val="99"/>
    <w:rsid w:val="001A5D3B"/>
    <w:pPr>
      <w:tabs>
        <w:tab w:val="center" w:pos="4320"/>
        <w:tab w:val="right" w:pos="8640"/>
      </w:tabs>
    </w:pPr>
  </w:style>
  <w:style w:type="character" w:customStyle="1" w:styleId="FooterChar">
    <w:name w:val="Footer Char"/>
    <w:basedOn w:val="DefaultParagraphFont"/>
    <w:link w:val="Footer"/>
    <w:uiPriority w:val="99"/>
    <w:rsid w:val="001A5D3B"/>
    <w:rPr>
      <w:rFonts w:ascii="Arial" w:eastAsia="Times New Roman" w:hAnsi="Arial" w:cs="Times New Roman"/>
      <w:sz w:val="24"/>
      <w:szCs w:val="20"/>
      <w:lang w:val="fr-CA"/>
    </w:rPr>
  </w:style>
  <w:style w:type="paragraph" w:styleId="FootnoteText">
    <w:name w:val="footnote text"/>
    <w:basedOn w:val="Normal"/>
    <w:link w:val="FootnoteTextChar"/>
    <w:uiPriority w:val="99"/>
    <w:semiHidden/>
    <w:rsid w:val="001A5D3B"/>
    <w:rPr>
      <w:sz w:val="20"/>
    </w:rPr>
  </w:style>
  <w:style w:type="character" w:customStyle="1" w:styleId="FootnoteTextChar">
    <w:name w:val="Footnote Text Char"/>
    <w:basedOn w:val="DefaultParagraphFont"/>
    <w:link w:val="FootnoteText"/>
    <w:uiPriority w:val="99"/>
    <w:semiHidden/>
    <w:rsid w:val="001A5D3B"/>
    <w:rPr>
      <w:rFonts w:ascii="Arial" w:eastAsia="Times New Roman" w:hAnsi="Arial" w:cs="Times New Roman"/>
      <w:sz w:val="20"/>
      <w:szCs w:val="20"/>
      <w:lang w:val="fr-CA"/>
    </w:rPr>
  </w:style>
  <w:style w:type="character" w:styleId="FootnoteReference">
    <w:name w:val="footnote reference"/>
    <w:uiPriority w:val="99"/>
    <w:semiHidden/>
    <w:rsid w:val="001A5D3B"/>
    <w:rPr>
      <w:rFonts w:cs="Times New Roman"/>
      <w:sz w:val="20"/>
      <w:vertAlign w:val="superscript"/>
    </w:rPr>
  </w:style>
  <w:style w:type="character" w:styleId="Strong">
    <w:name w:val="Strong"/>
    <w:qFormat/>
    <w:rsid w:val="001A5D3B"/>
    <w:rPr>
      <w:rFonts w:cs="Times New Roman"/>
      <w:b/>
    </w:rPr>
  </w:style>
  <w:style w:type="paragraph" w:customStyle="1" w:styleId="BodyTextI2">
    <w:name w:val="Body Text I2"/>
    <w:basedOn w:val="Normal"/>
    <w:link w:val="BodyTextI2Char"/>
    <w:rsid w:val="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Pr>
      <w:lang w:eastAsia="en-CA"/>
    </w:rPr>
  </w:style>
  <w:style w:type="character" w:customStyle="1" w:styleId="BodyTextI2Char">
    <w:name w:val="Body Text I2 Char"/>
    <w:link w:val="BodyTextI2"/>
    <w:locked/>
    <w:rsid w:val="001A5D3B"/>
    <w:rPr>
      <w:rFonts w:ascii="Arial" w:eastAsia="Times New Roman" w:hAnsi="Arial" w:cs="Times New Roman"/>
      <w:sz w:val="24"/>
      <w:szCs w:val="20"/>
      <w:lang w:val="fr-CA" w:eastAsia="en-CA"/>
    </w:rPr>
  </w:style>
  <w:style w:type="paragraph" w:styleId="Header">
    <w:name w:val="header"/>
    <w:basedOn w:val="Normal"/>
    <w:link w:val="HeaderChar"/>
    <w:uiPriority w:val="99"/>
    <w:unhideWhenUsed/>
    <w:rsid w:val="001A5D3B"/>
    <w:pPr>
      <w:tabs>
        <w:tab w:val="center" w:pos="4680"/>
        <w:tab w:val="right" w:pos="9360"/>
      </w:tabs>
    </w:pPr>
  </w:style>
  <w:style w:type="character" w:customStyle="1" w:styleId="HeaderChar">
    <w:name w:val="Header Char"/>
    <w:basedOn w:val="DefaultParagraphFont"/>
    <w:link w:val="Header"/>
    <w:uiPriority w:val="99"/>
    <w:rsid w:val="001A5D3B"/>
    <w:rPr>
      <w:rFonts w:ascii="Arial" w:eastAsia="Times New Roman" w:hAnsi="Arial" w:cs="Times New Roman"/>
      <w:sz w:val="24"/>
      <w:szCs w:val="20"/>
      <w:lang w:val="fr-CA"/>
    </w:rPr>
  </w:style>
  <w:style w:type="character" w:styleId="PageNumber">
    <w:name w:val="page number"/>
    <w:rsid w:val="001A5D3B"/>
    <w:rPr>
      <w:rFonts w:cs="Times New Roman"/>
      <w:sz w:val="20"/>
    </w:rPr>
  </w:style>
  <w:style w:type="character" w:styleId="Hyperlink">
    <w:name w:val="Hyperlink"/>
    <w:uiPriority w:val="99"/>
    <w:rsid w:val="00743DAD"/>
    <w:rPr>
      <w:rFonts w:cs="Times New Roman"/>
      <w:color w:val="0000FF"/>
      <w:u w:val="single"/>
    </w:rPr>
  </w:style>
  <w:style w:type="paragraph" w:customStyle="1" w:styleId="NormalBold">
    <w:name w:val="Normal Bold"/>
    <w:basedOn w:val="Heading2"/>
    <w:rsid w:val="00743DAD"/>
    <w:pPr>
      <w:keepNext w:val="0"/>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outlineLvl w:val="9"/>
    </w:pPr>
    <w:rPr>
      <w:rFonts w:ascii="Arial" w:eastAsia="Times New Roman" w:hAnsi="Arial" w:cs="Times New Roman"/>
      <w:b/>
      <w:color w:val="auto"/>
      <w:sz w:val="24"/>
      <w:szCs w:val="20"/>
      <w:lang w:eastAsia="en-CA"/>
    </w:rPr>
  </w:style>
  <w:style w:type="paragraph" w:customStyle="1" w:styleId="Normalitalic">
    <w:name w:val="Normal italic"/>
    <w:basedOn w:val="Normal"/>
    <w:rsid w:val="00743DA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eastAsia="en-CA"/>
    </w:rPr>
  </w:style>
  <w:style w:type="paragraph" w:styleId="ListParagraph">
    <w:name w:val="List Paragraph"/>
    <w:basedOn w:val="Normal"/>
    <w:uiPriority w:val="34"/>
    <w:qFormat/>
    <w:rsid w:val="00743DAD"/>
    <w:pPr>
      <w:ind w:left="720"/>
    </w:pPr>
  </w:style>
  <w:style w:type="table" w:styleId="TableGrid">
    <w:name w:val="Table Grid"/>
    <w:basedOn w:val="TableNormal"/>
    <w:uiPriority w:val="59"/>
    <w:rsid w:val="00743DAD"/>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43DAD"/>
    <w:rPr>
      <w:rFonts w:asciiTheme="majorHAnsi" w:eastAsiaTheme="majorEastAsia" w:hAnsiTheme="majorHAnsi" w:cstheme="majorBidi"/>
      <w:color w:val="2E74B5" w:themeColor="accent1" w:themeShade="BF"/>
      <w:sz w:val="26"/>
      <w:szCs w:val="26"/>
      <w:lang w:val="fr-CA"/>
    </w:rPr>
  </w:style>
  <w:style w:type="character" w:styleId="FollowedHyperlink">
    <w:name w:val="FollowedHyperlink"/>
    <w:basedOn w:val="DefaultParagraphFont"/>
    <w:uiPriority w:val="99"/>
    <w:semiHidden/>
    <w:unhideWhenUsed/>
    <w:rsid w:val="002A4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ewic.ca/index.php/fr/a-propos-de-nous/definitions-abrevi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sewic.ca/index.php/fr/rapports/preparation-rapports-situation/lignes-directrices-reconnaitre-unites-designab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sewic.ca/index.php/fr/" TargetMode="External"/><Relationship Id="rId4" Type="http://schemas.openxmlformats.org/officeDocument/2006/relationships/webSettings" Target="webSettings.xml"/><Relationship Id="rId9" Type="http://schemas.openxmlformats.org/officeDocument/2006/relationships/hyperlink" Target="https://www.cosewic.ca/index.php/fr/rapports/preparation-rapports-situ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sewic.ca/index.php/fr/processus-d-evaluation/evaluation-especes-sauvages-processus-categories-lignes-directrices/modification-immigration-source-externe" TargetMode="External"/><Relationship Id="rId2" Type="http://schemas.openxmlformats.org/officeDocument/2006/relationships/hyperlink" Target="http://www.iucnredlist.org/technical-documents/red-list-documents" TargetMode="External"/><Relationship Id="rId1" Type="http://schemas.openxmlformats.org/officeDocument/2006/relationships/hyperlink" Target="https://cosewic.ca/index.php/fr/a-propos-de-nous/definitions-abrev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1904</Words>
  <Characters>10858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Environment Climate Change Canada</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Noel,Marie-France [NCR]</dc:creator>
  <cp:keywords/>
  <dc:description/>
  <cp:lastModifiedBy>Noel,Marie-France [NCR]</cp:lastModifiedBy>
  <cp:revision>18</cp:revision>
  <dcterms:created xsi:type="dcterms:W3CDTF">2020-10-27T18:08:00Z</dcterms:created>
  <dcterms:modified xsi:type="dcterms:W3CDTF">2021-05-11T18:05:00Z</dcterms:modified>
</cp:coreProperties>
</file>